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23EC9" w14:textId="77777777" w:rsidR="006D34B7" w:rsidRPr="00076175" w:rsidRDefault="006D34B7" w:rsidP="006D34B7">
      <w:pPr>
        <w:rPr>
          <w:b/>
          <w:sz w:val="28"/>
          <w:szCs w:val="28"/>
        </w:rPr>
      </w:pPr>
      <w:r w:rsidRPr="00076175">
        <w:rPr>
          <w:b/>
          <w:sz w:val="28"/>
          <w:szCs w:val="28"/>
        </w:rPr>
        <w:t xml:space="preserve">Reglement Innovatiefonds SWV VO </w:t>
      </w:r>
      <w:proofErr w:type="spellStart"/>
      <w:r w:rsidRPr="00076175">
        <w:rPr>
          <w:b/>
          <w:sz w:val="28"/>
          <w:szCs w:val="28"/>
        </w:rPr>
        <w:t>Zuid-Oost</w:t>
      </w:r>
      <w:proofErr w:type="spellEnd"/>
      <w:r w:rsidRPr="00076175">
        <w:rPr>
          <w:b/>
          <w:sz w:val="28"/>
          <w:szCs w:val="28"/>
        </w:rPr>
        <w:t xml:space="preserve"> Utrecht </w:t>
      </w:r>
    </w:p>
    <w:p w14:paraId="7AEF6EF8" w14:textId="77777777" w:rsidR="006D34B7" w:rsidRPr="00076175" w:rsidRDefault="006D34B7" w:rsidP="006D34B7">
      <w:pPr>
        <w:rPr>
          <w:b/>
          <w:sz w:val="28"/>
          <w:szCs w:val="28"/>
        </w:rPr>
      </w:pPr>
    </w:p>
    <w:p w14:paraId="4E812B03" w14:textId="77777777" w:rsidR="006D34B7" w:rsidRPr="00076175" w:rsidRDefault="006D34B7" w:rsidP="006D34B7">
      <w:pPr>
        <w:rPr>
          <w:b/>
          <w:szCs w:val="22"/>
        </w:rPr>
      </w:pPr>
      <w:r w:rsidRPr="00076175">
        <w:rPr>
          <w:b/>
          <w:szCs w:val="22"/>
        </w:rPr>
        <w:t>Versiebeheer</w:t>
      </w:r>
    </w:p>
    <w:tbl>
      <w:tblPr>
        <w:tblStyle w:val="Tabelraster"/>
        <w:tblW w:w="0" w:type="auto"/>
        <w:tblInd w:w="0" w:type="dxa"/>
        <w:tblLook w:val="04A0" w:firstRow="1" w:lastRow="0" w:firstColumn="1" w:lastColumn="0" w:noHBand="0" w:noVBand="1"/>
      </w:tblPr>
      <w:tblGrid>
        <w:gridCol w:w="2992"/>
        <w:gridCol w:w="3015"/>
        <w:gridCol w:w="3009"/>
      </w:tblGrid>
      <w:tr w:rsidR="006D34B7" w:rsidRPr="00076175" w14:paraId="35AF2EFE" w14:textId="77777777" w:rsidTr="002208A8">
        <w:tc>
          <w:tcPr>
            <w:tcW w:w="3068" w:type="dxa"/>
            <w:tcBorders>
              <w:top w:val="single" w:sz="4" w:space="0" w:color="auto"/>
              <w:left w:val="single" w:sz="4" w:space="0" w:color="auto"/>
              <w:bottom w:val="single" w:sz="4" w:space="0" w:color="auto"/>
              <w:right w:val="single" w:sz="4" w:space="0" w:color="auto"/>
            </w:tcBorders>
          </w:tcPr>
          <w:p w14:paraId="4C5BE2F0" w14:textId="77777777" w:rsidR="006D34B7" w:rsidRPr="00076175" w:rsidRDefault="006D34B7" w:rsidP="002208A8">
            <w:pPr>
              <w:rPr>
                <w:b/>
                <w:szCs w:val="22"/>
                <w:lang w:eastAsia="en-US"/>
              </w:rPr>
            </w:pPr>
          </w:p>
        </w:tc>
        <w:tc>
          <w:tcPr>
            <w:tcW w:w="3069" w:type="dxa"/>
            <w:tcBorders>
              <w:top w:val="single" w:sz="4" w:space="0" w:color="auto"/>
              <w:left w:val="single" w:sz="4" w:space="0" w:color="auto"/>
              <w:bottom w:val="single" w:sz="4" w:space="0" w:color="auto"/>
              <w:right w:val="single" w:sz="4" w:space="0" w:color="auto"/>
            </w:tcBorders>
            <w:hideMark/>
          </w:tcPr>
          <w:p w14:paraId="7C1DEAA6" w14:textId="77777777" w:rsidR="006D34B7" w:rsidRPr="00076175" w:rsidRDefault="006D34B7" w:rsidP="002208A8">
            <w:pPr>
              <w:rPr>
                <w:b/>
                <w:szCs w:val="22"/>
                <w:lang w:eastAsia="en-US"/>
              </w:rPr>
            </w:pPr>
            <w:r w:rsidRPr="00076175">
              <w:rPr>
                <w:b/>
                <w:szCs w:val="22"/>
                <w:lang w:eastAsia="en-US"/>
              </w:rPr>
              <w:t>Goedgekeurd ALV d.d.</w:t>
            </w:r>
          </w:p>
        </w:tc>
        <w:tc>
          <w:tcPr>
            <w:tcW w:w="3069" w:type="dxa"/>
            <w:tcBorders>
              <w:top w:val="single" w:sz="4" w:space="0" w:color="auto"/>
              <w:left w:val="single" w:sz="4" w:space="0" w:color="auto"/>
              <w:bottom w:val="single" w:sz="4" w:space="0" w:color="auto"/>
              <w:right w:val="single" w:sz="4" w:space="0" w:color="auto"/>
            </w:tcBorders>
            <w:hideMark/>
          </w:tcPr>
          <w:p w14:paraId="22BFDDDD" w14:textId="77777777" w:rsidR="006D34B7" w:rsidRPr="00076175" w:rsidRDefault="006D34B7" w:rsidP="002208A8">
            <w:pPr>
              <w:rPr>
                <w:b/>
                <w:szCs w:val="22"/>
                <w:lang w:eastAsia="en-US"/>
              </w:rPr>
            </w:pPr>
            <w:r w:rsidRPr="00076175">
              <w:rPr>
                <w:b/>
                <w:szCs w:val="22"/>
                <w:lang w:eastAsia="en-US"/>
              </w:rPr>
              <w:t>Vastgesteld bestuur d.d.</w:t>
            </w:r>
          </w:p>
        </w:tc>
      </w:tr>
      <w:tr w:rsidR="006D34B7" w:rsidRPr="00076175" w14:paraId="6790C286" w14:textId="77777777" w:rsidTr="002208A8">
        <w:tc>
          <w:tcPr>
            <w:tcW w:w="3068" w:type="dxa"/>
            <w:tcBorders>
              <w:top w:val="single" w:sz="4" w:space="0" w:color="auto"/>
              <w:left w:val="single" w:sz="4" w:space="0" w:color="auto"/>
              <w:bottom w:val="single" w:sz="4" w:space="0" w:color="auto"/>
              <w:right w:val="single" w:sz="4" w:space="0" w:color="auto"/>
            </w:tcBorders>
            <w:hideMark/>
          </w:tcPr>
          <w:p w14:paraId="1CAA9999" w14:textId="77777777" w:rsidR="006D34B7" w:rsidRPr="00076175" w:rsidRDefault="006D34B7" w:rsidP="002208A8">
            <w:pPr>
              <w:rPr>
                <w:szCs w:val="22"/>
                <w:lang w:eastAsia="en-US"/>
              </w:rPr>
            </w:pPr>
            <w:r w:rsidRPr="00076175">
              <w:rPr>
                <w:b/>
                <w:szCs w:val="22"/>
                <w:lang w:eastAsia="en-US"/>
              </w:rPr>
              <w:t>Versie</w:t>
            </w:r>
            <w:r>
              <w:rPr>
                <w:b/>
                <w:szCs w:val="22"/>
                <w:lang w:eastAsia="en-US"/>
              </w:rPr>
              <w:t xml:space="preserve"> </w:t>
            </w:r>
            <w:r w:rsidRPr="00076175">
              <w:rPr>
                <w:b/>
                <w:szCs w:val="22"/>
                <w:lang w:eastAsia="en-US"/>
              </w:rPr>
              <w:t>nr. 1</w:t>
            </w:r>
          </w:p>
        </w:tc>
        <w:tc>
          <w:tcPr>
            <w:tcW w:w="3069" w:type="dxa"/>
            <w:tcBorders>
              <w:top w:val="single" w:sz="4" w:space="0" w:color="auto"/>
              <w:left w:val="single" w:sz="4" w:space="0" w:color="auto"/>
              <w:bottom w:val="single" w:sz="4" w:space="0" w:color="auto"/>
              <w:right w:val="single" w:sz="4" w:space="0" w:color="auto"/>
            </w:tcBorders>
          </w:tcPr>
          <w:p w14:paraId="57D33575" w14:textId="77777777" w:rsidR="006D34B7" w:rsidRPr="00B6185F" w:rsidRDefault="006D34B7" w:rsidP="002208A8">
            <w:pPr>
              <w:rPr>
                <w:szCs w:val="22"/>
                <w:lang w:eastAsia="en-US"/>
              </w:rPr>
            </w:pPr>
            <w:r w:rsidRPr="00B6185F">
              <w:rPr>
                <w:szCs w:val="22"/>
                <w:lang w:eastAsia="en-US"/>
              </w:rPr>
              <w:t>8-2-18</w:t>
            </w:r>
          </w:p>
        </w:tc>
        <w:tc>
          <w:tcPr>
            <w:tcW w:w="3069" w:type="dxa"/>
            <w:tcBorders>
              <w:top w:val="single" w:sz="4" w:space="0" w:color="auto"/>
              <w:left w:val="single" w:sz="4" w:space="0" w:color="auto"/>
              <w:bottom w:val="single" w:sz="4" w:space="0" w:color="auto"/>
              <w:right w:val="single" w:sz="4" w:space="0" w:color="auto"/>
            </w:tcBorders>
            <w:hideMark/>
          </w:tcPr>
          <w:p w14:paraId="5CB6B027" w14:textId="77777777" w:rsidR="006D34B7" w:rsidRPr="00B6185F" w:rsidRDefault="006D34B7" w:rsidP="002208A8">
            <w:pPr>
              <w:rPr>
                <w:szCs w:val="22"/>
                <w:lang w:eastAsia="en-US"/>
              </w:rPr>
            </w:pPr>
            <w:r w:rsidRPr="00B6185F">
              <w:rPr>
                <w:szCs w:val="22"/>
                <w:lang w:eastAsia="en-US"/>
              </w:rPr>
              <w:t>16-1-18</w:t>
            </w:r>
          </w:p>
        </w:tc>
      </w:tr>
      <w:tr w:rsidR="006D34B7" w:rsidRPr="00076175" w14:paraId="0C847E7A" w14:textId="77777777" w:rsidTr="002208A8">
        <w:tc>
          <w:tcPr>
            <w:tcW w:w="3068" w:type="dxa"/>
            <w:tcBorders>
              <w:top w:val="single" w:sz="4" w:space="0" w:color="auto"/>
              <w:left w:val="single" w:sz="4" w:space="0" w:color="auto"/>
              <w:bottom w:val="single" w:sz="4" w:space="0" w:color="auto"/>
              <w:right w:val="single" w:sz="4" w:space="0" w:color="auto"/>
            </w:tcBorders>
          </w:tcPr>
          <w:p w14:paraId="37838046" w14:textId="2693824D" w:rsidR="006D34B7" w:rsidRPr="000551FB" w:rsidRDefault="006D34B7" w:rsidP="002208A8">
            <w:pPr>
              <w:rPr>
                <w:b/>
                <w:bCs/>
                <w:szCs w:val="22"/>
                <w:lang w:eastAsia="en-US"/>
              </w:rPr>
            </w:pPr>
            <w:r w:rsidRPr="000551FB">
              <w:rPr>
                <w:b/>
                <w:bCs/>
                <w:szCs w:val="22"/>
                <w:lang w:eastAsia="en-US"/>
              </w:rPr>
              <w:t>Versie nr</w:t>
            </w:r>
            <w:r w:rsidR="00B6185F">
              <w:rPr>
                <w:b/>
                <w:bCs/>
                <w:szCs w:val="22"/>
                <w:lang w:eastAsia="en-US"/>
              </w:rPr>
              <w:t>.</w:t>
            </w:r>
            <w:r w:rsidRPr="000551FB">
              <w:rPr>
                <w:b/>
                <w:bCs/>
                <w:szCs w:val="22"/>
                <w:lang w:eastAsia="en-US"/>
              </w:rPr>
              <w:t xml:space="preserve"> 2</w:t>
            </w:r>
          </w:p>
        </w:tc>
        <w:tc>
          <w:tcPr>
            <w:tcW w:w="3069" w:type="dxa"/>
            <w:tcBorders>
              <w:top w:val="single" w:sz="4" w:space="0" w:color="auto"/>
              <w:left w:val="single" w:sz="4" w:space="0" w:color="auto"/>
              <w:bottom w:val="single" w:sz="4" w:space="0" w:color="auto"/>
              <w:right w:val="single" w:sz="4" w:space="0" w:color="auto"/>
            </w:tcBorders>
          </w:tcPr>
          <w:p w14:paraId="4ADCBEFE" w14:textId="77777777" w:rsidR="006D34B7" w:rsidRPr="00B6185F" w:rsidRDefault="006D34B7" w:rsidP="002208A8">
            <w:pPr>
              <w:rPr>
                <w:szCs w:val="22"/>
                <w:lang w:eastAsia="en-US"/>
              </w:rPr>
            </w:pPr>
          </w:p>
        </w:tc>
        <w:tc>
          <w:tcPr>
            <w:tcW w:w="3069" w:type="dxa"/>
            <w:tcBorders>
              <w:top w:val="single" w:sz="4" w:space="0" w:color="auto"/>
              <w:left w:val="single" w:sz="4" w:space="0" w:color="auto"/>
              <w:bottom w:val="single" w:sz="4" w:space="0" w:color="auto"/>
              <w:right w:val="single" w:sz="4" w:space="0" w:color="auto"/>
            </w:tcBorders>
          </w:tcPr>
          <w:p w14:paraId="1197EDA5" w14:textId="5898F30E" w:rsidR="006D34B7" w:rsidRPr="00B6185F" w:rsidRDefault="006D34B7" w:rsidP="002208A8">
            <w:pPr>
              <w:rPr>
                <w:szCs w:val="22"/>
                <w:lang w:eastAsia="en-US"/>
              </w:rPr>
            </w:pPr>
            <w:r w:rsidRPr="00B6185F">
              <w:rPr>
                <w:szCs w:val="22"/>
                <w:lang w:eastAsia="en-US"/>
              </w:rPr>
              <w:t>6-2-</w:t>
            </w:r>
            <w:r w:rsidR="00B6185F" w:rsidRPr="00B6185F">
              <w:rPr>
                <w:szCs w:val="22"/>
                <w:lang w:eastAsia="en-US"/>
              </w:rPr>
              <w:t>19</w:t>
            </w:r>
          </w:p>
        </w:tc>
      </w:tr>
      <w:tr w:rsidR="00B6185F" w:rsidRPr="00076175" w14:paraId="73C6C08A" w14:textId="77777777" w:rsidTr="002208A8">
        <w:tc>
          <w:tcPr>
            <w:tcW w:w="3068" w:type="dxa"/>
            <w:tcBorders>
              <w:top w:val="single" w:sz="4" w:space="0" w:color="auto"/>
              <w:left w:val="single" w:sz="4" w:space="0" w:color="auto"/>
              <w:bottom w:val="single" w:sz="4" w:space="0" w:color="auto"/>
              <w:right w:val="single" w:sz="4" w:space="0" w:color="auto"/>
            </w:tcBorders>
          </w:tcPr>
          <w:p w14:paraId="627D3D49" w14:textId="63AE08C6" w:rsidR="00B6185F" w:rsidRPr="000551FB" w:rsidRDefault="00B6185F" w:rsidP="002208A8">
            <w:pPr>
              <w:rPr>
                <w:b/>
                <w:bCs/>
                <w:szCs w:val="22"/>
                <w:lang w:eastAsia="en-US"/>
              </w:rPr>
            </w:pPr>
            <w:r>
              <w:rPr>
                <w:b/>
                <w:bCs/>
                <w:szCs w:val="22"/>
                <w:lang w:eastAsia="en-US"/>
              </w:rPr>
              <w:t>Versie nr. 3</w:t>
            </w:r>
          </w:p>
        </w:tc>
        <w:tc>
          <w:tcPr>
            <w:tcW w:w="3069" w:type="dxa"/>
            <w:tcBorders>
              <w:top w:val="single" w:sz="4" w:space="0" w:color="auto"/>
              <w:left w:val="single" w:sz="4" w:space="0" w:color="auto"/>
              <w:bottom w:val="single" w:sz="4" w:space="0" w:color="auto"/>
              <w:right w:val="single" w:sz="4" w:space="0" w:color="auto"/>
            </w:tcBorders>
          </w:tcPr>
          <w:p w14:paraId="79A4F47B" w14:textId="5895E621" w:rsidR="00B6185F" w:rsidRPr="00B6185F" w:rsidRDefault="00B6185F" w:rsidP="002208A8">
            <w:pPr>
              <w:rPr>
                <w:szCs w:val="22"/>
                <w:lang w:eastAsia="en-US"/>
              </w:rPr>
            </w:pPr>
            <w:r w:rsidRPr="00B6185F">
              <w:rPr>
                <w:szCs w:val="22"/>
                <w:lang w:eastAsia="en-US"/>
              </w:rPr>
              <w:t>20-2-20</w:t>
            </w:r>
          </w:p>
        </w:tc>
        <w:tc>
          <w:tcPr>
            <w:tcW w:w="3069" w:type="dxa"/>
            <w:tcBorders>
              <w:top w:val="single" w:sz="4" w:space="0" w:color="auto"/>
              <w:left w:val="single" w:sz="4" w:space="0" w:color="auto"/>
              <w:bottom w:val="single" w:sz="4" w:space="0" w:color="auto"/>
              <w:right w:val="single" w:sz="4" w:space="0" w:color="auto"/>
            </w:tcBorders>
          </w:tcPr>
          <w:p w14:paraId="48440027" w14:textId="5764FFF1" w:rsidR="00B6185F" w:rsidRPr="00B6185F" w:rsidRDefault="00B6185F" w:rsidP="002208A8">
            <w:pPr>
              <w:rPr>
                <w:szCs w:val="22"/>
                <w:lang w:eastAsia="en-US"/>
              </w:rPr>
            </w:pPr>
            <w:r w:rsidRPr="00B6185F">
              <w:rPr>
                <w:szCs w:val="22"/>
                <w:lang w:eastAsia="en-US"/>
              </w:rPr>
              <w:t>20-2-20</w:t>
            </w:r>
          </w:p>
        </w:tc>
      </w:tr>
    </w:tbl>
    <w:p w14:paraId="51F4D640" w14:textId="77777777" w:rsidR="006D34B7" w:rsidRPr="00076175" w:rsidRDefault="006D34B7" w:rsidP="006D34B7"/>
    <w:p w14:paraId="38CC3D7A" w14:textId="77777777" w:rsidR="006D34B7" w:rsidRPr="00076175" w:rsidRDefault="006D34B7" w:rsidP="006D34B7">
      <w:pPr>
        <w:keepNext/>
        <w:keepLines/>
        <w:spacing w:before="480"/>
        <w:outlineLvl w:val="0"/>
        <w:rPr>
          <w:b/>
          <w:bCs/>
          <w:kern w:val="32"/>
          <w:sz w:val="28"/>
          <w:szCs w:val="28"/>
          <w:lang w:eastAsia="en-US"/>
        </w:rPr>
      </w:pPr>
      <w:r w:rsidRPr="00076175">
        <w:rPr>
          <w:b/>
          <w:bCs/>
          <w:kern w:val="32"/>
          <w:sz w:val="28"/>
          <w:szCs w:val="28"/>
          <w:lang w:eastAsia="en-US"/>
        </w:rPr>
        <w:t>Begripsbepalingen</w:t>
      </w:r>
    </w:p>
    <w:p w14:paraId="0E5F3E33" w14:textId="77777777" w:rsidR="006D34B7" w:rsidRPr="00076175" w:rsidRDefault="006D34B7" w:rsidP="006D34B7">
      <w:pPr>
        <w:rPr>
          <w:lang w:eastAsia="en-US"/>
        </w:rPr>
      </w:pPr>
    </w:p>
    <w:p w14:paraId="76E1EBF0" w14:textId="77777777" w:rsidR="006D34B7" w:rsidRPr="00076175" w:rsidRDefault="006D34B7" w:rsidP="006D34B7">
      <w:pPr>
        <w:rPr>
          <w:szCs w:val="22"/>
        </w:rPr>
      </w:pPr>
      <w:r w:rsidRPr="00076175">
        <w:rPr>
          <w:szCs w:val="22"/>
        </w:rPr>
        <w:t>In dit reglement wordt verstaan onder:</w:t>
      </w:r>
      <w:bookmarkStart w:id="0" w:name="_GoBack"/>
      <w:bookmarkEnd w:id="0"/>
    </w:p>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3"/>
        <w:gridCol w:w="6243"/>
      </w:tblGrid>
      <w:tr w:rsidR="006D34B7" w:rsidRPr="00076175" w14:paraId="0A4C9F56" w14:textId="77777777" w:rsidTr="000D4AC0">
        <w:tc>
          <w:tcPr>
            <w:tcW w:w="2783" w:type="dxa"/>
            <w:hideMark/>
          </w:tcPr>
          <w:p w14:paraId="542545FB" w14:textId="77777777" w:rsidR="006D34B7" w:rsidRPr="00076175" w:rsidRDefault="006D34B7" w:rsidP="002208A8">
            <w:pPr>
              <w:rPr>
                <w:szCs w:val="22"/>
                <w:lang w:eastAsia="en-US"/>
              </w:rPr>
            </w:pPr>
            <w:r w:rsidRPr="00076175">
              <w:rPr>
                <w:szCs w:val="22"/>
                <w:lang w:eastAsia="en-US"/>
              </w:rPr>
              <w:t>Samenwerkingsverband</w:t>
            </w:r>
          </w:p>
        </w:tc>
        <w:tc>
          <w:tcPr>
            <w:tcW w:w="6243" w:type="dxa"/>
            <w:hideMark/>
          </w:tcPr>
          <w:p w14:paraId="34FA8853" w14:textId="77777777" w:rsidR="006D34B7" w:rsidRPr="00076175" w:rsidRDefault="006D34B7" w:rsidP="002208A8">
            <w:pPr>
              <w:rPr>
                <w:szCs w:val="22"/>
                <w:lang w:eastAsia="en-US"/>
              </w:rPr>
            </w:pPr>
            <w:r w:rsidRPr="00076175">
              <w:rPr>
                <w:szCs w:val="22"/>
                <w:lang w:eastAsia="en-US"/>
              </w:rPr>
              <w:t>het krachtens ministeriele regeling vastgesteld samenwerkingsverband passend onderwijs voor de regio gelijk lopende met de grenzen van de gemeenten: Bunnik, De Bilt, Utrechtse Heuvelrug, Wijk bij Duurstede, Zeist (VO-26-03)</w:t>
            </w:r>
          </w:p>
        </w:tc>
      </w:tr>
      <w:tr w:rsidR="006D34B7" w:rsidRPr="00076175" w14:paraId="5BDB2312" w14:textId="77777777" w:rsidTr="000D4AC0">
        <w:tc>
          <w:tcPr>
            <w:tcW w:w="2783" w:type="dxa"/>
            <w:hideMark/>
          </w:tcPr>
          <w:p w14:paraId="38896F26" w14:textId="77777777" w:rsidR="006D34B7" w:rsidRPr="00076175" w:rsidRDefault="006D34B7" w:rsidP="002208A8">
            <w:pPr>
              <w:rPr>
                <w:szCs w:val="22"/>
                <w:lang w:eastAsia="en-US"/>
              </w:rPr>
            </w:pPr>
            <w:r w:rsidRPr="00076175">
              <w:rPr>
                <w:szCs w:val="22"/>
                <w:lang w:eastAsia="en-US"/>
              </w:rPr>
              <w:t>Bestuur</w:t>
            </w:r>
          </w:p>
        </w:tc>
        <w:tc>
          <w:tcPr>
            <w:tcW w:w="6243" w:type="dxa"/>
            <w:hideMark/>
          </w:tcPr>
          <w:p w14:paraId="0B79D488" w14:textId="77777777" w:rsidR="006D34B7" w:rsidRPr="00076175" w:rsidRDefault="006D34B7" w:rsidP="002208A8">
            <w:pPr>
              <w:rPr>
                <w:szCs w:val="22"/>
                <w:lang w:eastAsia="en-US"/>
              </w:rPr>
            </w:pPr>
            <w:r w:rsidRPr="00076175">
              <w:rPr>
                <w:szCs w:val="22"/>
                <w:lang w:eastAsia="en-US"/>
              </w:rPr>
              <w:t>het bestuur van het samenwerkingsverband</w:t>
            </w:r>
            <w:r>
              <w:rPr>
                <w:szCs w:val="22"/>
                <w:lang w:eastAsia="en-US"/>
              </w:rPr>
              <w:t xml:space="preserve">, </w:t>
            </w:r>
            <w:r w:rsidRPr="000D4AC0">
              <w:rPr>
                <w:szCs w:val="22"/>
                <w:lang w:eastAsia="en-US"/>
              </w:rPr>
              <w:t>tevens directeur</w:t>
            </w:r>
          </w:p>
        </w:tc>
      </w:tr>
      <w:tr w:rsidR="006D34B7" w:rsidRPr="00076175" w14:paraId="27B5E398" w14:textId="77777777" w:rsidTr="000D4AC0">
        <w:tc>
          <w:tcPr>
            <w:tcW w:w="2783" w:type="dxa"/>
            <w:hideMark/>
          </w:tcPr>
          <w:p w14:paraId="00DD5630" w14:textId="77777777" w:rsidR="006D34B7" w:rsidRPr="00076175" w:rsidRDefault="006D34B7" w:rsidP="002208A8">
            <w:pPr>
              <w:rPr>
                <w:szCs w:val="22"/>
                <w:lang w:eastAsia="en-US"/>
              </w:rPr>
            </w:pPr>
            <w:r w:rsidRPr="00076175">
              <w:rPr>
                <w:szCs w:val="22"/>
                <w:lang w:eastAsia="en-US"/>
              </w:rPr>
              <w:t>Leden</w:t>
            </w:r>
          </w:p>
        </w:tc>
        <w:tc>
          <w:tcPr>
            <w:tcW w:w="6243" w:type="dxa"/>
            <w:hideMark/>
          </w:tcPr>
          <w:p w14:paraId="46403173" w14:textId="77777777" w:rsidR="006D34B7" w:rsidRPr="00076175" w:rsidRDefault="006D34B7" w:rsidP="002208A8">
            <w:pPr>
              <w:rPr>
                <w:szCs w:val="22"/>
                <w:lang w:eastAsia="en-US"/>
              </w:rPr>
            </w:pPr>
            <w:r w:rsidRPr="00076175">
              <w:rPr>
                <w:szCs w:val="22"/>
                <w:lang w:eastAsia="en-US"/>
              </w:rPr>
              <w:t>de leden van de Vereniging Samenwerkingsverband Voortgezet Onderwijs Zuidoost Utrecht.</w:t>
            </w:r>
          </w:p>
        </w:tc>
      </w:tr>
      <w:tr w:rsidR="000D4AC0" w:rsidRPr="00C27052" w14:paraId="78F57497" w14:textId="77777777" w:rsidTr="000D4AC0">
        <w:tc>
          <w:tcPr>
            <w:tcW w:w="2783" w:type="dxa"/>
          </w:tcPr>
          <w:p w14:paraId="07E902DB" w14:textId="77777777" w:rsidR="000D4AC0" w:rsidRPr="00076175" w:rsidRDefault="000D4AC0" w:rsidP="000D4AC0">
            <w:pPr>
              <w:rPr>
                <w:szCs w:val="22"/>
                <w:lang w:eastAsia="en-US"/>
              </w:rPr>
            </w:pPr>
            <w:r w:rsidRPr="00076175">
              <w:rPr>
                <w:szCs w:val="22"/>
                <w:lang w:eastAsia="en-US"/>
              </w:rPr>
              <w:t>Ondersteuningspofiel</w:t>
            </w:r>
          </w:p>
        </w:tc>
        <w:tc>
          <w:tcPr>
            <w:tcW w:w="6243" w:type="dxa"/>
          </w:tcPr>
          <w:p w14:paraId="111F4DB9" w14:textId="77777777" w:rsidR="000D4AC0" w:rsidRPr="00076175" w:rsidRDefault="000D4AC0" w:rsidP="000D4AC0">
            <w:pPr>
              <w:rPr>
                <w:szCs w:val="22"/>
                <w:lang w:eastAsia="en-US"/>
              </w:rPr>
            </w:pPr>
            <w:r w:rsidRPr="00076175">
              <w:rPr>
                <w:szCs w:val="22"/>
                <w:lang w:eastAsia="en-US"/>
              </w:rPr>
              <w:t>het profiel als bedoeld in artikel 17a van de Wet op het voortgezet onderwijs.</w:t>
            </w:r>
          </w:p>
        </w:tc>
      </w:tr>
      <w:tr w:rsidR="000D4AC0" w:rsidRPr="00076175" w14:paraId="7DFB2850" w14:textId="77777777" w:rsidTr="000D4AC0">
        <w:tc>
          <w:tcPr>
            <w:tcW w:w="2783" w:type="dxa"/>
          </w:tcPr>
          <w:p w14:paraId="7B86C282" w14:textId="77777777" w:rsidR="000D4AC0" w:rsidRPr="00076175" w:rsidRDefault="000D4AC0" w:rsidP="000D4AC0">
            <w:pPr>
              <w:rPr>
                <w:szCs w:val="22"/>
                <w:lang w:eastAsia="en-US"/>
              </w:rPr>
            </w:pPr>
            <w:r w:rsidRPr="00076175">
              <w:rPr>
                <w:szCs w:val="22"/>
                <w:lang w:eastAsia="en-US"/>
              </w:rPr>
              <w:t>Innovatiefonds</w:t>
            </w:r>
          </w:p>
        </w:tc>
        <w:tc>
          <w:tcPr>
            <w:tcW w:w="6243" w:type="dxa"/>
          </w:tcPr>
          <w:p w14:paraId="7BE0E697" w14:textId="77777777" w:rsidR="000D4AC0" w:rsidRPr="00076175" w:rsidRDefault="000D4AC0" w:rsidP="000D4AC0">
            <w:pPr>
              <w:rPr>
                <w:szCs w:val="22"/>
                <w:lang w:eastAsia="en-US"/>
              </w:rPr>
            </w:pPr>
            <w:r w:rsidRPr="00076175">
              <w:rPr>
                <w:szCs w:val="22"/>
                <w:lang w:eastAsia="en-US"/>
              </w:rPr>
              <w:t>financiële voorziening waarop leden een beroep kunnen doen op basis van in dit reglement bepaalde voorwaarden en procedures.</w:t>
            </w:r>
          </w:p>
        </w:tc>
      </w:tr>
      <w:tr w:rsidR="000D4AC0" w:rsidRPr="00076175" w14:paraId="4BAAF668" w14:textId="77777777" w:rsidTr="000D4AC0">
        <w:tc>
          <w:tcPr>
            <w:tcW w:w="2783" w:type="dxa"/>
          </w:tcPr>
          <w:p w14:paraId="27466FD6" w14:textId="77777777" w:rsidR="000D4AC0" w:rsidRPr="00076175" w:rsidRDefault="000D4AC0" w:rsidP="000D4AC0">
            <w:pPr>
              <w:rPr>
                <w:szCs w:val="22"/>
                <w:lang w:eastAsia="en-US"/>
              </w:rPr>
            </w:pPr>
            <w:r w:rsidRPr="00076175">
              <w:rPr>
                <w:szCs w:val="22"/>
                <w:lang w:eastAsia="en-US"/>
              </w:rPr>
              <w:t>Reserve</w:t>
            </w:r>
          </w:p>
        </w:tc>
        <w:tc>
          <w:tcPr>
            <w:tcW w:w="6243" w:type="dxa"/>
          </w:tcPr>
          <w:p w14:paraId="543D3870" w14:textId="77777777" w:rsidR="000D4AC0" w:rsidRPr="00076175" w:rsidRDefault="000D4AC0" w:rsidP="000D4AC0">
            <w:pPr>
              <w:rPr>
                <w:szCs w:val="22"/>
                <w:lang w:eastAsia="en-US"/>
              </w:rPr>
            </w:pPr>
            <w:r w:rsidRPr="00076175">
              <w:rPr>
                <w:szCs w:val="22"/>
                <w:lang w:eastAsia="en-US"/>
              </w:rPr>
              <w:t>de in de begroting van het samenwerkingsverband opgenomen financiële buffer voor het opvangen van risico’s, waarvan de financiële gevolgen vooraf niet redelijkerwijs zijn in te schatten.</w:t>
            </w:r>
          </w:p>
        </w:tc>
      </w:tr>
      <w:tr w:rsidR="000D4AC0" w:rsidRPr="00076175" w14:paraId="001D5D3D" w14:textId="77777777" w:rsidTr="000D4AC0">
        <w:tc>
          <w:tcPr>
            <w:tcW w:w="2783" w:type="dxa"/>
          </w:tcPr>
          <w:p w14:paraId="78BBC5D3" w14:textId="77777777" w:rsidR="000D4AC0" w:rsidRPr="00076175" w:rsidRDefault="000D4AC0" w:rsidP="000D4AC0">
            <w:pPr>
              <w:rPr>
                <w:szCs w:val="22"/>
                <w:lang w:eastAsia="en-US"/>
              </w:rPr>
            </w:pPr>
            <w:r w:rsidRPr="00076175">
              <w:rPr>
                <w:szCs w:val="22"/>
                <w:lang w:eastAsia="en-US"/>
              </w:rPr>
              <w:t>Schoolbestuur</w:t>
            </w:r>
          </w:p>
        </w:tc>
        <w:tc>
          <w:tcPr>
            <w:tcW w:w="6243" w:type="dxa"/>
          </w:tcPr>
          <w:p w14:paraId="56A12BE2" w14:textId="77777777" w:rsidR="000D4AC0" w:rsidRPr="00076175" w:rsidRDefault="000D4AC0" w:rsidP="000D4AC0">
            <w:pPr>
              <w:rPr>
                <w:szCs w:val="22"/>
                <w:lang w:eastAsia="en-US"/>
              </w:rPr>
            </w:pPr>
            <w:r w:rsidRPr="00076175">
              <w:rPr>
                <w:szCs w:val="22"/>
                <w:lang w:eastAsia="en-US"/>
              </w:rPr>
              <w:t xml:space="preserve">de rechtspersoon die </w:t>
            </w:r>
            <w:proofErr w:type="spellStart"/>
            <w:r w:rsidRPr="00076175">
              <w:rPr>
                <w:szCs w:val="22"/>
                <w:lang w:eastAsia="en-US"/>
              </w:rPr>
              <w:t>scho</w:t>
            </w:r>
            <w:proofErr w:type="spellEnd"/>
            <w:r w:rsidRPr="00076175">
              <w:rPr>
                <w:szCs w:val="22"/>
                <w:lang w:eastAsia="en-US"/>
              </w:rPr>
              <w:t xml:space="preserve">(o)l(en) in stand houdt binnen de regio van het samenwerkingsverband alsmede de rechtspersoon die (een) </w:t>
            </w:r>
            <w:proofErr w:type="spellStart"/>
            <w:r w:rsidRPr="00076175">
              <w:rPr>
                <w:szCs w:val="22"/>
                <w:lang w:eastAsia="en-US"/>
              </w:rPr>
              <w:t>scho</w:t>
            </w:r>
            <w:proofErr w:type="spellEnd"/>
            <w:r w:rsidRPr="00076175">
              <w:rPr>
                <w:szCs w:val="22"/>
                <w:lang w:eastAsia="en-US"/>
              </w:rPr>
              <w:t>(o)l(en) voor voortgezet speciaal onderwijs of een school voor speciaal en voortgezet speciaal onderwijs, behorend tot cluster 3 en 4 bedoeld in de Wet op de expertisecentra, in stand houdt waarvan de vestiging(en) is (zijn) gelegen buiten het gebied van een samenwerkingsverband en die deel neemt aan het samenwerkingsverband.</w:t>
            </w:r>
          </w:p>
        </w:tc>
      </w:tr>
      <w:tr w:rsidR="000D4AC0" w:rsidRPr="00076175" w14:paraId="4C5995B6" w14:textId="77777777" w:rsidTr="000D4AC0">
        <w:tc>
          <w:tcPr>
            <w:tcW w:w="2783" w:type="dxa"/>
          </w:tcPr>
          <w:p w14:paraId="018EA25D" w14:textId="77777777" w:rsidR="000D4AC0" w:rsidRPr="00076175" w:rsidRDefault="000D4AC0" w:rsidP="000D4AC0">
            <w:pPr>
              <w:rPr>
                <w:szCs w:val="22"/>
                <w:lang w:eastAsia="en-US"/>
              </w:rPr>
            </w:pPr>
          </w:p>
        </w:tc>
        <w:tc>
          <w:tcPr>
            <w:tcW w:w="6243" w:type="dxa"/>
          </w:tcPr>
          <w:p w14:paraId="57F77BEA" w14:textId="77777777" w:rsidR="000D4AC0" w:rsidRPr="00076175" w:rsidRDefault="000D4AC0" w:rsidP="000D4AC0">
            <w:pPr>
              <w:rPr>
                <w:szCs w:val="22"/>
                <w:lang w:eastAsia="en-US"/>
              </w:rPr>
            </w:pPr>
          </w:p>
        </w:tc>
      </w:tr>
    </w:tbl>
    <w:p w14:paraId="23D15424" w14:textId="77777777" w:rsidR="006D34B7" w:rsidRPr="00076175" w:rsidRDefault="006D34B7" w:rsidP="006D34B7">
      <w:pPr>
        <w:keepNext/>
        <w:keepLines/>
        <w:spacing w:before="480"/>
        <w:ind w:left="720" w:hanging="360"/>
        <w:outlineLvl w:val="0"/>
        <w:rPr>
          <w:rFonts w:ascii="Arial" w:hAnsi="Arial" w:cs="Arial"/>
          <w:b/>
          <w:bCs/>
          <w:kern w:val="32"/>
          <w:sz w:val="32"/>
          <w:szCs w:val="32"/>
          <w:lang w:eastAsia="en-US"/>
        </w:rPr>
      </w:pPr>
      <w:r w:rsidRPr="00076175">
        <w:rPr>
          <w:rFonts w:ascii="Arial" w:hAnsi="Arial" w:cs="Arial"/>
          <w:b/>
          <w:bCs/>
          <w:kern w:val="32"/>
          <w:sz w:val="32"/>
          <w:szCs w:val="32"/>
          <w:lang w:eastAsia="en-US"/>
        </w:rPr>
        <w:t>Innovatiefonds</w:t>
      </w:r>
    </w:p>
    <w:p w14:paraId="3095A792" w14:textId="77777777" w:rsidR="006D34B7" w:rsidRPr="00076175" w:rsidRDefault="006D34B7" w:rsidP="006D34B7">
      <w:pPr>
        <w:numPr>
          <w:ilvl w:val="0"/>
          <w:numId w:val="1"/>
        </w:numPr>
        <w:contextualSpacing/>
      </w:pPr>
      <w:r w:rsidRPr="00076175">
        <w:t>Het samenwerkingsverband treft onder de naam ‘Innovatiefonds’ een financiële voorziening en houdt deze in stand.</w:t>
      </w:r>
    </w:p>
    <w:p w14:paraId="784A523E" w14:textId="77777777" w:rsidR="006D34B7" w:rsidRPr="00076175" w:rsidRDefault="006D34B7" w:rsidP="006D34B7">
      <w:pPr>
        <w:numPr>
          <w:ilvl w:val="0"/>
          <w:numId w:val="1"/>
        </w:numPr>
        <w:contextualSpacing/>
      </w:pPr>
      <w:r w:rsidRPr="00076175">
        <w:t>Het Innovatiefonds heeft in 20</w:t>
      </w:r>
      <w:r>
        <w:t>20</w:t>
      </w:r>
      <w:r w:rsidRPr="00076175">
        <w:t xml:space="preserve"> een omvang van €</w:t>
      </w:r>
      <w:r>
        <w:t>50</w:t>
      </w:r>
      <w:r w:rsidRPr="00076175">
        <w:t xml:space="preserve">.000,-. Jaarlijks wordt, bij het vaststellen van de begroting, een bedrag afgesproken die de hoogte bepaalt van het Innovatiefonds voor dat het jaar van deze begroting. </w:t>
      </w:r>
    </w:p>
    <w:p w14:paraId="56421C4B" w14:textId="77777777" w:rsidR="006D34B7" w:rsidRPr="00076175" w:rsidRDefault="006D34B7" w:rsidP="006D34B7">
      <w:pPr>
        <w:numPr>
          <w:ilvl w:val="0"/>
          <w:numId w:val="1"/>
        </w:numPr>
        <w:contextualSpacing/>
      </w:pPr>
      <w:r w:rsidRPr="00076175">
        <w:t>Het Innovatiefonds maakt geen deel uit van de Reserve.</w:t>
      </w:r>
    </w:p>
    <w:p w14:paraId="4144482E" w14:textId="77777777" w:rsidR="006D34B7" w:rsidRPr="00076175" w:rsidRDefault="006D34B7" w:rsidP="006D34B7">
      <w:pPr>
        <w:numPr>
          <w:ilvl w:val="0"/>
          <w:numId w:val="1"/>
        </w:numPr>
        <w:contextualSpacing/>
      </w:pPr>
      <w:r w:rsidRPr="00076175">
        <w:t>Een schoolbestuur dat één of meer scholen voor voortgezet (speciaal)onderwijs in de regio van het samenwerkingsverband in stand houdt kan een beroep op het Innovatiefonds als sprake is van (nieuwe) innovatieve ontwikkelingen binnen de school, die rechtstreeks te herleiden zijn tot ontwikkelingen op het gebied van passend onderwijs.</w:t>
      </w:r>
    </w:p>
    <w:p w14:paraId="7391EBDE" w14:textId="77777777" w:rsidR="006D34B7" w:rsidRPr="00A818F3" w:rsidRDefault="006D34B7" w:rsidP="006D34B7">
      <w:pPr>
        <w:numPr>
          <w:ilvl w:val="0"/>
          <w:numId w:val="1"/>
        </w:numPr>
        <w:contextualSpacing/>
      </w:pPr>
      <w:r w:rsidRPr="00076175">
        <w:t>Het Innovatiefonds is bedoeld voor het geven van een financiële impuls om innovaties te kunnen starten. Na deze start wordt verwacht dat de school het vervolg uit de eigen (zorg)middelen financiert.</w:t>
      </w:r>
    </w:p>
    <w:p w14:paraId="401297B6" w14:textId="77777777" w:rsidR="006D34B7" w:rsidRPr="00076175" w:rsidRDefault="006D34B7" w:rsidP="006D34B7">
      <w:pPr>
        <w:numPr>
          <w:ilvl w:val="0"/>
          <w:numId w:val="1"/>
        </w:numPr>
        <w:contextualSpacing/>
      </w:pPr>
      <w:r w:rsidRPr="00076175">
        <w:t>Procedure</w:t>
      </w:r>
    </w:p>
    <w:p w14:paraId="245308E5" w14:textId="77777777" w:rsidR="006D34B7" w:rsidRPr="00076175" w:rsidRDefault="006D34B7" w:rsidP="006D34B7">
      <w:pPr>
        <w:numPr>
          <w:ilvl w:val="0"/>
          <w:numId w:val="2"/>
        </w:numPr>
        <w:contextualSpacing/>
      </w:pPr>
      <w:r w:rsidRPr="00076175">
        <w:lastRenderedPageBreak/>
        <w:t>Jaarlijks wordt tijdens het vaststellen van de begroting de hoogte van het Innovatiefonds bepaald.</w:t>
      </w:r>
    </w:p>
    <w:p w14:paraId="208902A0" w14:textId="77777777" w:rsidR="006D34B7" w:rsidRPr="00076175" w:rsidRDefault="006D34B7" w:rsidP="006D34B7">
      <w:pPr>
        <w:numPr>
          <w:ilvl w:val="0"/>
          <w:numId w:val="2"/>
        </w:numPr>
        <w:contextualSpacing/>
      </w:pPr>
      <w:r w:rsidRPr="00076175">
        <w:t>Jaarlijks wordt tijdens de eerste ALV van het kalenderjaar de start van de procedure kenbaar gemaakt, waarbij het tijdstip van inschrijven en sluiting bekend wordt gemaakt.</w:t>
      </w:r>
    </w:p>
    <w:p w14:paraId="433667E7" w14:textId="77777777" w:rsidR="006D34B7" w:rsidRPr="00076175" w:rsidRDefault="006D34B7" w:rsidP="006D34B7">
      <w:pPr>
        <w:numPr>
          <w:ilvl w:val="0"/>
          <w:numId w:val="2"/>
        </w:numPr>
        <w:contextualSpacing/>
      </w:pPr>
      <w:r w:rsidRPr="00076175">
        <w:t xml:space="preserve">Een aanvraag voor een bijdrage uit het Innovatiefonds wordt vervolgens schriftelijk ingediend door het schoolbestuur bij de directeur van het </w:t>
      </w:r>
      <w:proofErr w:type="spellStart"/>
      <w:r w:rsidRPr="00076175">
        <w:t>swv</w:t>
      </w:r>
      <w:proofErr w:type="spellEnd"/>
      <w:r w:rsidRPr="00076175">
        <w:t>.</w:t>
      </w:r>
    </w:p>
    <w:p w14:paraId="193CD01A" w14:textId="77777777" w:rsidR="006D34B7" w:rsidRPr="00076175" w:rsidRDefault="006D34B7" w:rsidP="006D34B7">
      <w:pPr>
        <w:numPr>
          <w:ilvl w:val="0"/>
          <w:numId w:val="2"/>
        </w:numPr>
        <w:contextualSpacing/>
      </w:pPr>
      <w:r w:rsidRPr="00076175">
        <w:t>Het maximale aan te vragen bedrag is €50.000,- per school per jaar.</w:t>
      </w:r>
    </w:p>
    <w:p w14:paraId="4D083E5A" w14:textId="77777777" w:rsidR="006D34B7" w:rsidRPr="00076175" w:rsidRDefault="006D34B7" w:rsidP="006D34B7">
      <w:pPr>
        <w:numPr>
          <w:ilvl w:val="0"/>
          <w:numId w:val="2"/>
        </w:numPr>
        <w:contextualSpacing/>
      </w:pPr>
      <w:r w:rsidRPr="00076175">
        <w:t xml:space="preserve">Het aanvragende schoolbestuur specificeert de hoogte van de gevraagde bijdrage en overlegt daarbij een inhoudelijke beschrijving waarbij het innovatieve karakter, de doorstart uit eigen middelen en de wijze waarop plannen en resultaten worden gedeeld binnen het </w:t>
      </w:r>
      <w:proofErr w:type="spellStart"/>
      <w:r w:rsidRPr="00076175">
        <w:t>swv</w:t>
      </w:r>
      <w:proofErr w:type="spellEnd"/>
      <w:r w:rsidRPr="00076175">
        <w:t xml:space="preserve"> worden gespecificeerd.</w:t>
      </w:r>
    </w:p>
    <w:p w14:paraId="504CD26B" w14:textId="77777777" w:rsidR="006D34B7" w:rsidRPr="00076175" w:rsidRDefault="006D34B7" w:rsidP="006D34B7">
      <w:pPr>
        <w:numPr>
          <w:ilvl w:val="0"/>
          <w:numId w:val="2"/>
        </w:numPr>
        <w:contextualSpacing/>
      </w:pPr>
      <w:r w:rsidRPr="00076175">
        <w:t>Bij de beoordeling worden de volgende regels in acht genomen (en in het bijzonder als blijkt dat er meer middelen worden aangevraagd dan de omvang van het fonds):</w:t>
      </w:r>
    </w:p>
    <w:p w14:paraId="2E3136E7" w14:textId="77777777" w:rsidR="006D34B7" w:rsidRPr="00076175" w:rsidRDefault="006D34B7" w:rsidP="006D34B7">
      <w:pPr>
        <w:numPr>
          <w:ilvl w:val="3"/>
          <w:numId w:val="3"/>
        </w:numPr>
        <w:contextualSpacing/>
      </w:pPr>
      <w:r w:rsidRPr="00076175">
        <w:t xml:space="preserve">aanvragen die betrekking hebben op witte vlekken binnen het </w:t>
      </w:r>
      <w:proofErr w:type="spellStart"/>
      <w:r w:rsidRPr="00076175">
        <w:t>swv</w:t>
      </w:r>
      <w:proofErr w:type="spellEnd"/>
      <w:r w:rsidRPr="00076175">
        <w:t xml:space="preserve"> krijgen voorrang.</w:t>
      </w:r>
    </w:p>
    <w:p w14:paraId="31140234" w14:textId="77777777" w:rsidR="006D34B7" w:rsidRPr="00076175" w:rsidRDefault="006D34B7" w:rsidP="006D34B7">
      <w:pPr>
        <w:numPr>
          <w:ilvl w:val="3"/>
          <w:numId w:val="3"/>
        </w:numPr>
        <w:contextualSpacing/>
      </w:pPr>
      <w:r w:rsidRPr="00076175">
        <w:t xml:space="preserve">aanvragen die een duidelijke meerwaarde voor het </w:t>
      </w:r>
      <w:proofErr w:type="spellStart"/>
      <w:r w:rsidRPr="00076175">
        <w:t>swv</w:t>
      </w:r>
      <w:proofErr w:type="spellEnd"/>
      <w:r w:rsidRPr="00076175">
        <w:t xml:space="preserve"> opleveren komen op plek 2.</w:t>
      </w:r>
    </w:p>
    <w:p w14:paraId="67A546E6" w14:textId="77777777" w:rsidR="006D34B7" w:rsidRPr="00076175" w:rsidRDefault="006D34B7" w:rsidP="006D34B7">
      <w:pPr>
        <w:numPr>
          <w:ilvl w:val="3"/>
          <w:numId w:val="3"/>
        </w:numPr>
        <w:contextualSpacing/>
      </w:pPr>
      <w:r w:rsidRPr="00076175">
        <w:t>aanvragen die een duidelijke meerwaarde voor de school opleveren komen op plek 3.</w:t>
      </w:r>
    </w:p>
    <w:p w14:paraId="4A9DE6BB" w14:textId="77777777" w:rsidR="006D34B7" w:rsidRPr="00076175" w:rsidRDefault="006D34B7" w:rsidP="006D34B7">
      <w:pPr>
        <w:numPr>
          <w:ilvl w:val="3"/>
          <w:numId w:val="3"/>
        </w:numPr>
        <w:contextualSpacing/>
      </w:pPr>
      <w:r w:rsidRPr="00076175">
        <w:t>daarnaast zal de volgorde van binnenkomst worden meegewogen voor aanvragen die binnen dezelfde categorie vallen.</w:t>
      </w:r>
    </w:p>
    <w:p w14:paraId="26A97378" w14:textId="77777777" w:rsidR="006D34B7" w:rsidRPr="00076175" w:rsidRDefault="006D34B7" w:rsidP="006D34B7">
      <w:pPr>
        <w:numPr>
          <w:ilvl w:val="3"/>
          <w:numId w:val="3"/>
        </w:numPr>
        <w:contextualSpacing/>
      </w:pPr>
      <w:r w:rsidRPr="00076175">
        <w:t>de commissie (zie hieronder) weegt en beoordeeld in de beoordeling het innovatie karakter van de aanvraag.</w:t>
      </w:r>
    </w:p>
    <w:p w14:paraId="4DBF8CC6" w14:textId="77777777" w:rsidR="006D34B7" w:rsidRPr="00076175" w:rsidRDefault="006D34B7" w:rsidP="006D34B7">
      <w:pPr>
        <w:numPr>
          <w:ilvl w:val="0"/>
          <w:numId w:val="2"/>
        </w:numPr>
        <w:contextualSpacing/>
      </w:pPr>
      <w:r w:rsidRPr="00076175">
        <w:t>Voor de beoordeling van de ingediende plannen is een commissie ingericht. Deze commissie bestaat uit:</w:t>
      </w:r>
    </w:p>
    <w:p w14:paraId="48885B06" w14:textId="77777777" w:rsidR="006D34B7" w:rsidRPr="00076175" w:rsidRDefault="000D4AC0" w:rsidP="006D34B7">
      <w:pPr>
        <w:numPr>
          <w:ilvl w:val="0"/>
          <w:numId w:val="4"/>
        </w:numPr>
        <w:contextualSpacing/>
      </w:pPr>
      <w:r>
        <w:t>d</w:t>
      </w:r>
      <w:r w:rsidR="006D34B7" w:rsidRPr="000D4AC0">
        <w:t>irecteur-bestuurder</w:t>
      </w:r>
      <w:r w:rsidR="006D34B7">
        <w:t xml:space="preserve"> </w:t>
      </w:r>
      <w:r w:rsidR="006D34B7" w:rsidRPr="00076175">
        <w:t xml:space="preserve">van het </w:t>
      </w:r>
      <w:proofErr w:type="spellStart"/>
      <w:r w:rsidR="006D34B7" w:rsidRPr="00076175">
        <w:t>swv</w:t>
      </w:r>
      <w:proofErr w:type="spellEnd"/>
    </w:p>
    <w:p w14:paraId="3218DFE1" w14:textId="77777777" w:rsidR="006D34B7" w:rsidRPr="000D4AC0" w:rsidRDefault="006D34B7" w:rsidP="000D4AC0">
      <w:pPr>
        <w:numPr>
          <w:ilvl w:val="0"/>
          <w:numId w:val="4"/>
        </w:numPr>
        <w:contextualSpacing/>
      </w:pPr>
      <w:r w:rsidRPr="000D4AC0">
        <w:t>2 leden</w:t>
      </w:r>
      <w:r>
        <w:t xml:space="preserve"> v</w:t>
      </w:r>
      <w:r w:rsidRPr="00076175">
        <w:t>an de ALV (geen belanghebbende in de aanvraag)</w:t>
      </w:r>
    </w:p>
    <w:p w14:paraId="7F518763" w14:textId="77777777" w:rsidR="006D34B7" w:rsidRPr="00076175" w:rsidRDefault="006D34B7" w:rsidP="006D34B7">
      <w:pPr>
        <w:numPr>
          <w:ilvl w:val="0"/>
          <w:numId w:val="2"/>
        </w:numPr>
        <w:contextualSpacing/>
      </w:pPr>
      <w:r w:rsidRPr="00076175">
        <w:t>De beoordelingscommissie stelt een schriftelijk advies op voor het bestuur. Het bestuur is vervolgens verantwoordelijk voor het nemen van de beslissing.</w:t>
      </w:r>
    </w:p>
    <w:p w14:paraId="75C3DA32" w14:textId="77777777" w:rsidR="006D34B7" w:rsidRPr="00076175" w:rsidRDefault="006D34B7" w:rsidP="006D34B7">
      <w:pPr>
        <w:numPr>
          <w:ilvl w:val="0"/>
          <w:numId w:val="2"/>
        </w:numPr>
        <w:contextualSpacing/>
      </w:pPr>
      <w:r w:rsidRPr="00076175">
        <w:t>Na het genomen besluit wordt de aanvragende bestuurder door de directeur op de hoogte gebracht van afwijzing of toekenning.</w:t>
      </w:r>
    </w:p>
    <w:p w14:paraId="7596AC78" w14:textId="77777777" w:rsidR="006D34B7" w:rsidRPr="00076175" w:rsidRDefault="006D34B7" w:rsidP="006D34B7">
      <w:pPr>
        <w:numPr>
          <w:ilvl w:val="0"/>
          <w:numId w:val="1"/>
        </w:numPr>
        <w:contextualSpacing/>
      </w:pPr>
      <w:r w:rsidRPr="00076175">
        <w:t xml:space="preserve">Het aanvragende schoolbestuur legt binnen de normale monitoring- en verantwoordingscyclus specifiek verantwoording af over de inzet en opbrengst van de uit het Innovatiefonds ontvangen bijdrage. </w:t>
      </w:r>
    </w:p>
    <w:p w14:paraId="30635E9F" w14:textId="77777777" w:rsidR="006D34B7" w:rsidRPr="00076175" w:rsidRDefault="006D34B7" w:rsidP="006D34B7">
      <w:pPr>
        <w:keepNext/>
        <w:keepLines/>
        <w:spacing w:before="480"/>
        <w:ind w:left="720" w:hanging="360"/>
        <w:outlineLvl w:val="0"/>
        <w:rPr>
          <w:rFonts w:ascii="Arial" w:hAnsi="Arial" w:cs="Arial"/>
          <w:b/>
          <w:bCs/>
          <w:kern w:val="32"/>
          <w:sz w:val="32"/>
          <w:szCs w:val="32"/>
          <w:lang w:eastAsia="en-US"/>
        </w:rPr>
      </w:pPr>
      <w:r w:rsidRPr="00076175">
        <w:rPr>
          <w:rFonts w:ascii="Arial" w:hAnsi="Arial" w:cs="Arial"/>
          <w:b/>
          <w:bCs/>
          <w:kern w:val="32"/>
          <w:sz w:val="32"/>
          <w:szCs w:val="32"/>
          <w:lang w:eastAsia="en-US"/>
        </w:rPr>
        <w:t>Slotbepaling</w:t>
      </w:r>
    </w:p>
    <w:p w14:paraId="6F31CA4F" w14:textId="77777777" w:rsidR="006D34B7" w:rsidRPr="00076175" w:rsidRDefault="006D34B7" w:rsidP="006D34B7">
      <w:r w:rsidRPr="00076175">
        <w:t>Wat betreft onderwerpen waar dit Reglement niet in voorziet, of bij interpretatiegeschillen, besluit het Bestuur met inachtneming van de wettelijke bepalingen en de statuten van de vereniging.</w:t>
      </w:r>
    </w:p>
    <w:p w14:paraId="642B1CA7" w14:textId="77777777" w:rsidR="00DB3DB4" w:rsidRDefault="00DB3DB4"/>
    <w:sectPr w:rsidR="00DB3D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07E65"/>
    <w:multiLevelType w:val="hybridMultilevel"/>
    <w:tmpl w:val="13480AE8"/>
    <w:lvl w:ilvl="0" w:tplc="D72E9860">
      <w:start w:val="1"/>
      <w:numFmt w:val="bullet"/>
      <w:lvlText w:val="-"/>
      <w:lvlJc w:val="left"/>
      <w:pPr>
        <w:ind w:left="1080" w:hanging="360"/>
      </w:pPr>
      <w:rPr>
        <w:rFonts w:ascii="Times New Roman" w:eastAsia="PMingLiU" w:hAnsi="Times New Roman"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 w15:restartNumberingAfterBreak="0">
    <w:nsid w:val="1A613821"/>
    <w:multiLevelType w:val="hybridMultilevel"/>
    <w:tmpl w:val="804EBFBC"/>
    <w:lvl w:ilvl="0" w:tplc="403215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F014DF3"/>
    <w:multiLevelType w:val="hybridMultilevel"/>
    <w:tmpl w:val="85A8F582"/>
    <w:lvl w:ilvl="0" w:tplc="650C15D8">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4D8E1419"/>
    <w:multiLevelType w:val="hybridMultilevel"/>
    <w:tmpl w:val="EF68E7EE"/>
    <w:lvl w:ilvl="0" w:tplc="FDD0B2F4">
      <w:start w:val="1"/>
      <w:numFmt w:val="bullet"/>
      <w:lvlText w:val=""/>
      <w:lvlJc w:val="left"/>
      <w:pPr>
        <w:ind w:left="1440" w:hanging="360"/>
      </w:pPr>
      <w:rPr>
        <w:rFonts w:ascii="Symbol" w:eastAsia="PMingLiU" w:hAnsi="Symbol" w:cs="Times New Roman"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4B7"/>
    <w:rsid w:val="000D4AC0"/>
    <w:rsid w:val="006D34B7"/>
    <w:rsid w:val="00B6185F"/>
    <w:rsid w:val="00DB3D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39434"/>
  <w15:chartTrackingRefBased/>
  <w15:docId w15:val="{AB4C23A6-91FE-4FD6-AAAB-6E72F3F9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34B7"/>
    <w:pPr>
      <w:widowControl w:val="0"/>
      <w:autoSpaceDE w:val="0"/>
      <w:autoSpaceDN w:val="0"/>
      <w:adjustRightInd w:val="0"/>
      <w:spacing w:after="0" w:line="240" w:lineRule="auto"/>
    </w:pPr>
    <w:rPr>
      <w:rFonts w:ascii="Times New Roman" w:eastAsia="Verdana" w:hAnsi="Times New Roman" w:cs="Times New Roman"/>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D34B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738</Words>
  <Characters>4061</Characters>
  <Application>Microsoft Office Word</Application>
  <DocSecurity>0</DocSecurity>
  <Lines>33</Lines>
  <Paragraphs>9</Paragraphs>
  <ScaleCrop>false</ScaleCrop>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Emmerzaal SWV VO ZOU</dc:creator>
  <cp:keywords/>
  <dc:description/>
  <cp:lastModifiedBy>Harry Emmerzaal SWV VO ZOU</cp:lastModifiedBy>
  <cp:revision>3</cp:revision>
  <dcterms:created xsi:type="dcterms:W3CDTF">2020-03-02T12:28:00Z</dcterms:created>
  <dcterms:modified xsi:type="dcterms:W3CDTF">2020-03-02T12:33:00Z</dcterms:modified>
</cp:coreProperties>
</file>