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BE43" w14:textId="77777777" w:rsidR="00E60508" w:rsidRDefault="00E60508">
      <w:pPr>
        <w:rPr>
          <w:b/>
          <w:sz w:val="96"/>
          <w:szCs w:val="96"/>
        </w:rPr>
      </w:pPr>
      <w:bookmarkStart w:id="0" w:name="_GoBack"/>
      <w:bookmarkEnd w:id="0"/>
    </w:p>
    <w:p w14:paraId="60ECF138" w14:textId="77777777" w:rsidR="00E60508" w:rsidRDefault="00E60508">
      <w:pPr>
        <w:rPr>
          <w:b/>
          <w:sz w:val="96"/>
          <w:szCs w:val="96"/>
        </w:rPr>
      </w:pPr>
    </w:p>
    <w:p w14:paraId="7CEEEC39" w14:textId="77777777" w:rsidR="00E60508" w:rsidRPr="00E60508" w:rsidRDefault="007E1498">
      <w:pPr>
        <w:rPr>
          <w:b/>
          <w:sz w:val="96"/>
          <w:szCs w:val="96"/>
        </w:rPr>
      </w:pPr>
      <w:r w:rsidRPr="00E60508">
        <w:rPr>
          <w:b/>
          <w:sz w:val="96"/>
          <w:szCs w:val="96"/>
        </w:rPr>
        <w:t xml:space="preserve">Inkoopbeleid </w:t>
      </w:r>
    </w:p>
    <w:p w14:paraId="74E942B6" w14:textId="77777777" w:rsidR="00E60508" w:rsidRDefault="00E60508">
      <w:pPr>
        <w:rPr>
          <w:b/>
          <w:sz w:val="36"/>
          <w:szCs w:val="36"/>
        </w:rPr>
      </w:pPr>
    </w:p>
    <w:p w14:paraId="33B131A2" w14:textId="77777777" w:rsidR="00E60508" w:rsidRDefault="00867942">
      <w:pPr>
        <w:rPr>
          <w:b/>
          <w:sz w:val="36"/>
          <w:szCs w:val="36"/>
        </w:rPr>
      </w:pPr>
      <w:r w:rsidRPr="0020252F">
        <w:rPr>
          <w:b/>
          <w:sz w:val="36"/>
          <w:szCs w:val="36"/>
        </w:rPr>
        <w:t xml:space="preserve">en </w:t>
      </w:r>
    </w:p>
    <w:p w14:paraId="2FC9F4E3" w14:textId="77777777" w:rsidR="00E60508" w:rsidRDefault="00E60508">
      <w:pPr>
        <w:rPr>
          <w:b/>
          <w:sz w:val="36"/>
          <w:szCs w:val="36"/>
        </w:rPr>
      </w:pPr>
    </w:p>
    <w:p w14:paraId="71C4648E" w14:textId="77777777" w:rsidR="0020252F" w:rsidRDefault="00E60508">
      <w:pPr>
        <w:rPr>
          <w:b/>
          <w:sz w:val="96"/>
          <w:szCs w:val="96"/>
        </w:rPr>
      </w:pPr>
      <w:r w:rsidRPr="00E60508">
        <w:rPr>
          <w:b/>
          <w:sz w:val="96"/>
          <w:szCs w:val="96"/>
        </w:rPr>
        <w:t>I</w:t>
      </w:r>
      <w:r w:rsidR="00867942" w:rsidRPr="00E60508">
        <w:rPr>
          <w:b/>
          <w:sz w:val="96"/>
          <w:szCs w:val="96"/>
        </w:rPr>
        <w:t xml:space="preserve">nkoopproces </w:t>
      </w:r>
    </w:p>
    <w:p w14:paraId="16528F5A" w14:textId="77777777" w:rsidR="00E60508" w:rsidRDefault="00E60508">
      <w:pPr>
        <w:rPr>
          <w:b/>
          <w:sz w:val="22"/>
          <w:szCs w:val="22"/>
        </w:rPr>
      </w:pPr>
    </w:p>
    <w:p w14:paraId="78523B98" w14:textId="77777777" w:rsidR="003F0E36" w:rsidRDefault="003F0E36">
      <w:pPr>
        <w:rPr>
          <w:b/>
          <w:sz w:val="22"/>
          <w:szCs w:val="22"/>
        </w:rPr>
      </w:pPr>
    </w:p>
    <w:p w14:paraId="05C53680" w14:textId="77777777" w:rsidR="003F0E36" w:rsidRDefault="003F0E36">
      <w:pPr>
        <w:rPr>
          <w:b/>
          <w:sz w:val="22"/>
          <w:szCs w:val="22"/>
        </w:rPr>
      </w:pPr>
    </w:p>
    <w:p w14:paraId="79C87EC6" w14:textId="77777777" w:rsidR="003F0E36" w:rsidRDefault="003F0E36" w:rsidP="001D3F24">
      <w:pPr>
        <w:jc w:val="center"/>
        <w:rPr>
          <w:i/>
          <w:sz w:val="40"/>
          <w:szCs w:val="40"/>
        </w:rPr>
      </w:pPr>
    </w:p>
    <w:p w14:paraId="1BB46D90" w14:textId="77777777" w:rsidR="00F90BF7" w:rsidRPr="00F90BF7" w:rsidRDefault="00F90BF7" w:rsidP="001D3F24">
      <w:pPr>
        <w:jc w:val="center"/>
        <w:rPr>
          <w:i/>
          <w:sz w:val="28"/>
          <w:szCs w:val="28"/>
        </w:rPr>
      </w:pPr>
    </w:p>
    <w:p w14:paraId="73DBFC0F" w14:textId="77777777" w:rsidR="00B45A6A" w:rsidRDefault="00B45A6A">
      <w:pPr>
        <w:rPr>
          <w:b/>
          <w:sz w:val="22"/>
          <w:szCs w:val="22"/>
        </w:rPr>
      </w:pPr>
    </w:p>
    <w:p w14:paraId="5961C7FB" w14:textId="77777777" w:rsidR="00B45A6A" w:rsidRDefault="00B45A6A">
      <w:pPr>
        <w:rPr>
          <w:b/>
          <w:sz w:val="22"/>
          <w:szCs w:val="22"/>
        </w:rPr>
      </w:pPr>
    </w:p>
    <w:p w14:paraId="1741BDD4" w14:textId="77777777" w:rsidR="00B45A6A" w:rsidRDefault="00B45A6A">
      <w:pPr>
        <w:rPr>
          <w:b/>
          <w:sz w:val="22"/>
          <w:szCs w:val="22"/>
        </w:rPr>
      </w:pPr>
    </w:p>
    <w:p w14:paraId="501C3918" w14:textId="77777777" w:rsidR="00B45A6A" w:rsidRDefault="00B45A6A">
      <w:pPr>
        <w:rPr>
          <w:b/>
          <w:sz w:val="22"/>
          <w:szCs w:val="22"/>
        </w:rPr>
      </w:pPr>
    </w:p>
    <w:p w14:paraId="65C727B5" w14:textId="77777777" w:rsidR="00B45A6A" w:rsidRDefault="00B45A6A">
      <w:pPr>
        <w:rPr>
          <w:b/>
          <w:sz w:val="22"/>
          <w:szCs w:val="22"/>
        </w:rPr>
      </w:pPr>
    </w:p>
    <w:p w14:paraId="244B2A5D" w14:textId="77777777" w:rsidR="00B45A6A" w:rsidRDefault="00B45A6A">
      <w:pPr>
        <w:rPr>
          <w:b/>
          <w:sz w:val="22"/>
          <w:szCs w:val="22"/>
        </w:rPr>
      </w:pPr>
    </w:p>
    <w:p w14:paraId="72A502EE" w14:textId="77777777" w:rsidR="00B45A6A" w:rsidRDefault="00B45A6A">
      <w:pPr>
        <w:rPr>
          <w:b/>
          <w:sz w:val="22"/>
          <w:szCs w:val="22"/>
        </w:rPr>
      </w:pPr>
    </w:p>
    <w:p w14:paraId="3F6E59CD" w14:textId="77777777" w:rsidR="00B45A6A" w:rsidRDefault="00BB57BF" w:rsidP="00BB57B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5BDE751D" wp14:editId="003FB673">
            <wp:extent cx="3169920" cy="621665"/>
            <wp:effectExtent l="0" t="0" r="0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7D256" w14:textId="77777777" w:rsidR="00BE48C0" w:rsidRDefault="00BE48C0">
      <w:pPr>
        <w:rPr>
          <w:b/>
          <w:sz w:val="22"/>
          <w:szCs w:val="22"/>
        </w:rPr>
      </w:pPr>
    </w:p>
    <w:p w14:paraId="1ACCDDF3" w14:textId="77777777" w:rsidR="00BE48C0" w:rsidRDefault="00BE48C0">
      <w:pPr>
        <w:rPr>
          <w:b/>
          <w:sz w:val="22"/>
          <w:szCs w:val="22"/>
        </w:rPr>
      </w:pPr>
    </w:p>
    <w:p w14:paraId="406B694D" w14:textId="77777777" w:rsidR="00BE48C0" w:rsidRDefault="00BE48C0">
      <w:pPr>
        <w:rPr>
          <w:b/>
          <w:sz w:val="22"/>
          <w:szCs w:val="22"/>
        </w:rPr>
      </w:pPr>
    </w:p>
    <w:p w14:paraId="73B38763" w14:textId="4BD20EDC" w:rsidR="00B45A6A" w:rsidRDefault="00B45A6A" w:rsidP="00F55725">
      <w:pPr>
        <w:rPr>
          <w:b/>
          <w:sz w:val="22"/>
          <w:szCs w:val="22"/>
        </w:rPr>
      </w:pPr>
    </w:p>
    <w:p w14:paraId="495DC7B1" w14:textId="77777777" w:rsidR="00B45A6A" w:rsidRDefault="00B45A6A">
      <w:pPr>
        <w:rPr>
          <w:b/>
          <w:sz w:val="22"/>
          <w:szCs w:val="22"/>
        </w:rPr>
      </w:pPr>
    </w:p>
    <w:p w14:paraId="2DC2AC57" w14:textId="77777777" w:rsidR="0020252F" w:rsidRDefault="0020252F"/>
    <w:p w14:paraId="205A53AF" w14:textId="77777777" w:rsidR="007E1498" w:rsidRDefault="007E1498"/>
    <w:p w14:paraId="44491E64" w14:textId="5490DA33" w:rsidR="00921CFD" w:rsidRDefault="00887694" w:rsidP="00B45A6A">
      <w:pPr>
        <w:jc w:val="both"/>
      </w:pPr>
      <w:r w:rsidRPr="00F5572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163F" wp14:editId="22CC72C8">
                <wp:simplePos x="0" y="0"/>
                <wp:positionH relativeFrom="margin">
                  <wp:posOffset>-137160</wp:posOffset>
                </wp:positionH>
                <wp:positionV relativeFrom="margin">
                  <wp:posOffset>8455660</wp:posOffset>
                </wp:positionV>
                <wp:extent cx="6013450" cy="548640"/>
                <wp:effectExtent l="0" t="0" r="25400" b="22860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93F1B" w14:textId="185C3408" w:rsidR="00FF514B" w:rsidRDefault="00887694" w:rsidP="00887694">
                            <w:pPr>
                              <w:jc w:val="center"/>
                            </w:pPr>
                            <w:r>
                              <w:t>Versie 1-1-20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7163F" id="Rechthoek 1" o:spid="_x0000_s1026" style="position:absolute;left:0;text-align:left;margin-left:-10.8pt;margin-top:665.8pt;width:473.5pt;height:43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" fillcolor="white [3201]" strokecolor="black [3200]" strokeweight="2pt">
                <v:textbox>
                  <w:txbxContent>
                    <w:p w14:paraId="11B93F1B" w14:textId="185C3408" w:rsidR="00FF514B" w:rsidRDefault="00887694" w:rsidP="00887694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>Versie 1-1-20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6497F">
        <w:br w:type="page"/>
      </w:r>
    </w:p>
    <w:p w14:paraId="441FB68C" w14:textId="77777777" w:rsidR="00B45A6A" w:rsidRDefault="00B45A6A" w:rsidP="00B45A6A">
      <w:pPr>
        <w:jc w:val="both"/>
        <w:sectPr w:rsidR="00B45A6A" w:rsidSect="00921CFD">
          <w:footerReference w:type="defaul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0FAAF8FF" w14:textId="77777777" w:rsidR="0016497F" w:rsidRDefault="0016497F"/>
    <w:p w14:paraId="2D1F03D6" w14:textId="77777777" w:rsidR="007E1498" w:rsidRDefault="0016497F" w:rsidP="00875913">
      <w:pPr>
        <w:spacing w:line="360" w:lineRule="auto"/>
        <w:rPr>
          <w:b/>
          <w:color w:val="D00606"/>
          <w:sz w:val="24"/>
          <w:szCs w:val="24"/>
        </w:rPr>
      </w:pPr>
      <w:r w:rsidRPr="00924F5D">
        <w:rPr>
          <w:b/>
          <w:color w:val="D00606"/>
          <w:sz w:val="24"/>
          <w:szCs w:val="24"/>
        </w:rPr>
        <w:t>Inhoudsopgave</w:t>
      </w:r>
    </w:p>
    <w:p w14:paraId="19E3013C" w14:textId="77777777" w:rsidR="002B7547" w:rsidRDefault="002B7547" w:rsidP="00875913">
      <w:pPr>
        <w:spacing w:line="360" w:lineRule="auto"/>
        <w:rPr>
          <w:b/>
          <w:color w:val="D00606"/>
          <w:sz w:val="24"/>
          <w:szCs w:val="24"/>
        </w:rPr>
      </w:pPr>
    </w:p>
    <w:p w14:paraId="34B32221" w14:textId="77777777" w:rsidR="002B7547" w:rsidRDefault="002B7547" w:rsidP="00875913">
      <w:pPr>
        <w:spacing w:line="360" w:lineRule="auto"/>
        <w:rPr>
          <w:b/>
          <w:color w:val="D00606"/>
          <w:sz w:val="24"/>
          <w:szCs w:val="24"/>
        </w:rPr>
      </w:pPr>
    </w:p>
    <w:p w14:paraId="573122D4" w14:textId="77777777" w:rsidR="002B7547" w:rsidRPr="002B7547" w:rsidRDefault="002B7547" w:rsidP="00875913">
      <w:pPr>
        <w:spacing w:line="360" w:lineRule="auto"/>
        <w:rPr>
          <w:b/>
          <w:sz w:val="24"/>
          <w:szCs w:val="24"/>
        </w:rPr>
      </w:pPr>
      <w:r>
        <w:rPr>
          <w:b/>
          <w:color w:val="D00606"/>
          <w:sz w:val="24"/>
          <w:szCs w:val="24"/>
        </w:rPr>
        <w:tab/>
      </w:r>
      <w:r w:rsidRPr="002B7547">
        <w:rPr>
          <w:b/>
          <w:sz w:val="24"/>
          <w:szCs w:val="24"/>
        </w:rPr>
        <w:t>Hoofdstuk</w:t>
      </w:r>
      <w:r w:rsidRPr="002B7547">
        <w:rPr>
          <w:b/>
          <w:sz w:val="24"/>
          <w:szCs w:val="24"/>
        </w:rPr>
        <w:tab/>
      </w:r>
      <w:r w:rsidRPr="002B7547">
        <w:rPr>
          <w:b/>
          <w:sz w:val="24"/>
          <w:szCs w:val="24"/>
        </w:rPr>
        <w:tab/>
      </w:r>
      <w:r w:rsidRPr="002B7547">
        <w:rPr>
          <w:b/>
          <w:sz w:val="24"/>
          <w:szCs w:val="24"/>
        </w:rPr>
        <w:tab/>
      </w:r>
      <w:r w:rsidRPr="002B7547">
        <w:rPr>
          <w:b/>
          <w:sz w:val="24"/>
          <w:szCs w:val="24"/>
        </w:rPr>
        <w:tab/>
      </w:r>
      <w:r w:rsidRPr="002B7547">
        <w:rPr>
          <w:b/>
          <w:sz w:val="24"/>
          <w:szCs w:val="24"/>
        </w:rPr>
        <w:tab/>
      </w:r>
      <w:r w:rsidRPr="002B7547">
        <w:rPr>
          <w:b/>
          <w:sz w:val="24"/>
          <w:szCs w:val="24"/>
        </w:rPr>
        <w:tab/>
        <w:t>Pagina</w:t>
      </w:r>
    </w:p>
    <w:p w14:paraId="13120CDD" w14:textId="77777777" w:rsidR="002B7547" w:rsidRPr="002B7547" w:rsidRDefault="002B7547" w:rsidP="00875913">
      <w:pPr>
        <w:spacing w:line="360" w:lineRule="auto"/>
        <w:rPr>
          <w:b/>
          <w:sz w:val="24"/>
          <w:szCs w:val="24"/>
        </w:rPr>
      </w:pPr>
    </w:p>
    <w:p w14:paraId="368438B4" w14:textId="77777777" w:rsidR="002B7547" w:rsidRPr="002B7547" w:rsidRDefault="002B7547" w:rsidP="000430D3">
      <w:pPr>
        <w:spacing w:line="360" w:lineRule="auto"/>
        <w:rPr>
          <w:b/>
          <w:sz w:val="24"/>
          <w:szCs w:val="24"/>
        </w:rPr>
      </w:pPr>
      <w:r w:rsidRPr="002B7547">
        <w:rPr>
          <w:b/>
          <w:sz w:val="24"/>
          <w:szCs w:val="24"/>
        </w:rPr>
        <w:t>1</w:t>
      </w:r>
      <w:r w:rsidRPr="002B7547">
        <w:rPr>
          <w:b/>
          <w:sz w:val="24"/>
          <w:szCs w:val="24"/>
        </w:rPr>
        <w:tab/>
      </w:r>
      <w:r w:rsidR="00F55725">
        <w:rPr>
          <w:b/>
          <w:sz w:val="24"/>
          <w:szCs w:val="24"/>
        </w:rPr>
        <w:t xml:space="preserve">Inkoopbeleid </w:t>
      </w:r>
      <w:r w:rsidR="000430D3">
        <w:rPr>
          <w:b/>
          <w:sz w:val="24"/>
          <w:szCs w:val="24"/>
        </w:rPr>
        <w:t xml:space="preserve">van het </w:t>
      </w:r>
      <w:r w:rsidR="00F55725">
        <w:rPr>
          <w:b/>
          <w:sz w:val="24"/>
          <w:szCs w:val="24"/>
        </w:rPr>
        <w:t>SWV</w:t>
      </w:r>
      <w:r w:rsidR="00F55725">
        <w:rPr>
          <w:b/>
          <w:sz w:val="24"/>
          <w:szCs w:val="24"/>
        </w:rPr>
        <w:tab/>
      </w:r>
      <w:r w:rsidR="00F55725">
        <w:rPr>
          <w:b/>
          <w:sz w:val="24"/>
          <w:szCs w:val="24"/>
        </w:rPr>
        <w:tab/>
      </w:r>
      <w:r w:rsidR="00F55725">
        <w:rPr>
          <w:b/>
          <w:sz w:val="24"/>
          <w:szCs w:val="24"/>
        </w:rPr>
        <w:tab/>
      </w:r>
      <w:r w:rsidR="00F55725">
        <w:rPr>
          <w:b/>
          <w:sz w:val="24"/>
          <w:szCs w:val="24"/>
        </w:rPr>
        <w:tab/>
        <w:t>2</w:t>
      </w:r>
    </w:p>
    <w:p w14:paraId="098010A2" w14:textId="77777777" w:rsidR="002B7547" w:rsidRPr="002B7547" w:rsidRDefault="002B7547" w:rsidP="00875913">
      <w:pPr>
        <w:spacing w:line="360" w:lineRule="auto"/>
        <w:rPr>
          <w:b/>
          <w:sz w:val="24"/>
          <w:szCs w:val="24"/>
        </w:rPr>
      </w:pPr>
    </w:p>
    <w:p w14:paraId="110AD605" w14:textId="77777777" w:rsidR="002B7547" w:rsidRPr="002B7547" w:rsidRDefault="00F55725" w:rsidP="00F557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B7547" w:rsidRPr="002B7547">
        <w:rPr>
          <w:b/>
          <w:sz w:val="24"/>
          <w:szCs w:val="24"/>
        </w:rPr>
        <w:tab/>
        <w:t xml:space="preserve">Inkoopproces binnen </w:t>
      </w:r>
      <w:r w:rsidR="0007326C">
        <w:rPr>
          <w:b/>
          <w:sz w:val="24"/>
          <w:szCs w:val="24"/>
        </w:rPr>
        <w:t xml:space="preserve">het </w:t>
      </w:r>
      <w:r w:rsidR="002B7547" w:rsidRPr="002B7547">
        <w:rPr>
          <w:b/>
          <w:sz w:val="24"/>
          <w:szCs w:val="24"/>
        </w:rPr>
        <w:t>SWV</w:t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>
        <w:rPr>
          <w:b/>
          <w:sz w:val="24"/>
          <w:szCs w:val="24"/>
        </w:rPr>
        <w:t>3</w:t>
      </w:r>
    </w:p>
    <w:p w14:paraId="67C13603" w14:textId="77777777" w:rsidR="002B7547" w:rsidRPr="002B7547" w:rsidRDefault="002B7547" w:rsidP="00875913">
      <w:pPr>
        <w:spacing w:line="360" w:lineRule="auto"/>
        <w:rPr>
          <w:b/>
          <w:sz w:val="24"/>
          <w:szCs w:val="24"/>
        </w:rPr>
      </w:pPr>
    </w:p>
    <w:p w14:paraId="7A41F3C4" w14:textId="77777777" w:rsidR="002B7547" w:rsidRPr="002B7547" w:rsidRDefault="00F55725" w:rsidP="00B011B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B7547" w:rsidRPr="002B7547">
        <w:rPr>
          <w:b/>
          <w:sz w:val="24"/>
          <w:szCs w:val="24"/>
        </w:rPr>
        <w:tab/>
        <w:t>Inkoopproces wie doet wat</w:t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B011B6">
        <w:rPr>
          <w:b/>
          <w:sz w:val="24"/>
          <w:szCs w:val="24"/>
        </w:rPr>
        <w:t>4</w:t>
      </w:r>
    </w:p>
    <w:p w14:paraId="4F31AEDF" w14:textId="77777777" w:rsidR="002B7547" w:rsidRPr="002B7547" w:rsidRDefault="002B7547" w:rsidP="00875913">
      <w:pPr>
        <w:spacing w:line="360" w:lineRule="auto"/>
        <w:rPr>
          <w:b/>
          <w:sz w:val="24"/>
          <w:szCs w:val="24"/>
        </w:rPr>
      </w:pPr>
    </w:p>
    <w:p w14:paraId="400E86D7" w14:textId="77777777" w:rsidR="002B7547" w:rsidRPr="002B7547" w:rsidRDefault="00F55725" w:rsidP="00F557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B7547" w:rsidRPr="002B7547">
        <w:rPr>
          <w:b/>
          <w:sz w:val="24"/>
          <w:szCs w:val="24"/>
        </w:rPr>
        <w:tab/>
        <w:t>Bevoegdheden</w:t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>
        <w:rPr>
          <w:b/>
          <w:sz w:val="24"/>
          <w:szCs w:val="24"/>
        </w:rPr>
        <w:t>5</w:t>
      </w:r>
    </w:p>
    <w:p w14:paraId="0857BA2E" w14:textId="77777777" w:rsidR="002B7547" w:rsidRPr="002B7547" w:rsidRDefault="002B7547" w:rsidP="00875913">
      <w:pPr>
        <w:spacing w:line="360" w:lineRule="auto"/>
        <w:rPr>
          <w:b/>
          <w:sz w:val="24"/>
          <w:szCs w:val="24"/>
        </w:rPr>
      </w:pPr>
    </w:p>
    <w:p w14:paraId="288E228C" w14:textId="77777777" w:rsidR="002B7547" w:rsidRPr="002B7547" w:rsidRDefault="00F55725" w:rsidP="00F557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B7547" w:rsidRPr="002B7547">
        <w:rPr>
          <w:b/>
          <w:sz w:val="24"/>
          <w:szCs w:val="24"/>
        </w:rPr>
        <w:tab/>
        <w:t>Contractbeheer</w:t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 w:rsidR="002B7547" w:rsidRPr="002B7547">
        <w:rPr>
          <w:b/>
          <w:sz w:val="24"/>
          <w:szCs w:val="24"/>
        </w:rPr>
        <w:tab/>
      </w:r>
      <w:r>
        <w:rPr>
          <w:b/>
          <w:sz w:val="24"/>
          <w:szCs w:val="24"/>
        </w:rPr>
        <w:t>5</w:t>
      </w:r>
    </w:p>
    <w:p w14:paraId="6FD0124C" w14:textId="77777777" w:rsidR="0016497F" w:rsidRDefault="0016497F" w:rsidP="00875913">
      <w:pPr>
        <w:spacing w:line="360" w:lineRule="auto"/>
        <w:rPr>
          <w:b/>
        </w:rPr>
      </w:pPr>
    </w:p>
    <w:p w14:paraId="1C5AEBB7" w14:textId="77777777" w:rsidR="0016497F" w:rsidRDefault="0016497F" w:rsidP="00875913">
      <w:pPr>
        <w:spacing w:line="360" w:lineRule="auto"/>
        <w:rPr>
          <w:b/>
        </w:rPr>
      </w:pPr>
    </w:p>
    <w:p w14:paraId="671199EE" w14:textId="77777777" w:rsidR="0016497F" w:rsidRDefault="0016497F" w:rsidP="00875913">
      <w:pPr>
        <w:spacing w:line="360" w:lineRule="auto"/>
        <w:rPr>
          <w:b/>
        </w:rPr>
      </w:pPr>
    </w:p>
    <w:p w14:paraId="294B201F" w14:textId="77777777" w:rsidR="0020252F" w:rsidRDefault="0020252F">
      <w:pPr>
        <w:rPr>
          <w:b/>
        </w:rPr>
      </w:pPr>
      <w:r>
        <w:rPr>
          <w:b/>
        </w:rPr>
        <w:br w:type="page"/>
      </w:r>
    </w:p>
    <w:p w14:paraId="421C04E0" w14:textId="77777777" w:rsidR="001F692B" w:rsidRPr="00924F5D" w:rsidRDefault="008E377B" w:rsidP="004E081A">
      <w:pPr>
        <w:spacing w:line="360" w:lineRule="auto"/>
        <w:rPr>
          <w:b/>
          <w:color w:val="D00606"/>
          <w:sz w:val="24"/>
          <w:szCs w:val="24"/>
        </w:rPr>
      </w:pPr>
      <w:r>
        <w:rPr>
          <w:b/>
          <w:color w:val="D00606"/>
          <w:sz w:val="28"/>
          <w:szCs w:val="28"/>
        </w:rPr>
        <w:lastRenderedPageBreak/>
        <w:t>1</w:t>
      </w:r>
      <w:r w:rsidR="00F668BC" w:rsidRPr="00924F5D">
        <w:rPr>
          <w:b/>
          <w:color w:val="D00606"/>
          <w:sz w:val="24"/>
          <w:szCs w:val="24"/>
        </w:rPr>
        <w:t xml:space="preserve"> </w:t>
      </w:r>
      <w:r w:rsidR="00F668BC" w:rsidRPr="00924F5D">
        <w:rPr>
          <w:b/>
          <w:color w:val="D00606"/>
          <w:sz w:val="24"/>
          <w:szCs w:val="24"/>
        </w:rPr>
        <w:tab/>
      </w:r>
      <w:r w:rsidR="00152113">
        <w:rPr>
          <w:b/>
          <w:color w:val="D00606"/>
          <w:sz w:val="24"/>
          <w:szCs w:val="24"/>
        </w:rPr>
        <w:t xml:space="preserve">Inkoopbeleid </w:t>
      </w:r>
      <w:r w:rsidR="004E081A">
        <w:rPr>
          <w:b/>
          <w:color w:val="D00606"/>
          <w:sz w:val="24"/>
          <w:szCs w:val="24"/>
        </w:rPr>
        <w:t>van het Samenwerkingsverband (</w:t>
      </w:r>
      <w:r w:rsidR="00152113">
        <w:rPr>
          <w:b/>
          <w:color w:val="D00606"/>
          <w:sz w:val="24"/>
          <w:szCs w:val="24"/>
        </w:rPr>
        <w:t>SWV</w:t>
      </w:r>
      <w:r w:rsidR="004E081A">
        <w:rPr>
          <w:b/>
          <w:color w:val="D00606"/>
          <w:sz w:val="24"/>
          <w:szCs w:val="24"/>
        </w:rPr>
        <w:t>)</w:t>
      </w:r>
    </w:p>
    <w:p w14:paraId="47F3E762" w14:textId="77777777" w:rsidR="001F692B" w:rsidRDefault="001F692B" w:rsidP="00875913">
      <w:pPr>
        <w:spacing w:line="360" w:lineRule="auto"/>
      </w:pPr>
    </w:p>
    <w:p w14:paraId="7300648E" w14:textId="77777777" w:rsidR="00BC0669" w:rsidRDefault="009E63D3" w:rsidP="004E081A">
      <w:pPr>
        <w:spacing w:line="360" w:lineRule="auto"/>
      </w:pPr>
      <w:r>
        <w:t xml:space="preserve">Binnen </w:t>
      </w:r>
      <w:r w:rsidR="004E081A">
        <w:t>het</w:t>
      </w:r>
      <w:r>
        <w:t xml:space="preserve"> SWV wordt</w:t>
      </w:r>
      <w:r w:rsidR="004E081A">
        <w:t xml:space="preserve"> </w:t>
      </w:r>
      <w:r w:rsidR="00BC0669">
        <w:t xml:space="preserve">weinig ingekocht en wordt er </w:t>
      </w:r>
      <w:r>
        <w:t xml:space="preserve">gewerkt met een gering aantal centraal afgesproken contracten. </w:t>
      </w:r>
      <w:r w:rsidR="00BC0669">
        <w:t xml:space="preserve"> Deze contracten zijn </w:t>
      </w:r>
      <w:r w:rsidR="00BC0669" w:rsidRPr="00924F5D">
        <w:t>er onder andere</w:t>
      </w:r>
      <w:r w:rsidR="00BC0669">
        <w:t xml:space="preserve"> op het gebied van:</w:t>
      </w:r>
    </w:p>
    <w:p w14:paraId="711E8023" w14:textId="77777777" w:rsidR="00BC0669" w:rsidRDefault="00BC0669" w:rsidP="00BC0669">
      <w:pPr>
        <w:spacing w:line="360" w:lineRule="auto"/>
      </w:pPr>
    </w:p>
    <w:p w14:paraId="3A26B5ED" w14:textId="77777777" w:rsidR="00280D5D" w:rsidRDefault="00BC0669" w:rsidP="00BC0669">
      <w:pPr>
        <w:pStyle w:val="Lijstalinea"/>
        <w:numPr>
          <w:ilvl w:val="0"/>
          <w:numId w:val="23"/>
        </w:numPr>
        <w:spacing w:line="360" w:lineRule="auto"/>
      </w:pPr>
      <w:r>
        <w:t>Inhuur derden</w:t>
      </w:r>
    </w:p>
    <w:p w14:paraId="7A1E1EA2" w14:textId="77777777" w:rsidR="00280D5D" w:rsidRDefault="00BC0669" w:rsidP="00BC0669">
      <w:pPr>
        <w:pStyle w:val="Lijstalinea"/>
        <w:numPr>
          <w:ilvl w:val="0"/>
          <w:numId w:val="23"/>
        </w:numPr>
        <w:spacing w:line="360" w:lineRule="auto"/>
      </w:pPr>
      <w:r>
        <w:t>Administratiekantoor</w:t>
      </w:r>
    </w:p>
    <w:p w14:paraId="708A2F60" w14:textId="77777777" w:rsidR="00BC0669" w:rsidRDefault="00BC0669" w:rsidP="00BC0669">
      <w:pPr>
        <w:pStyle w:val="Lijstalinea"/>
        <w:numPr>
          <w:ilvl w:val="0"/>
          <w:numId w:val="23"/>
        </w:numPr>
        <w:spacing w:line="360" w:lineRule="auto"/>
      </w:pPr>
      <w:r>
        <w:t>Accountantsdiensten</w:t>
      </w:r>
    </w:p>
    <w:p w14:paraId="00485FE7" w14:textId="77777777" w:rsidR="00BC0669" w:rsidRDefault="00BC0669" w:rsidP="00BC0669">
      <w:pPr>
        <w:pStyle w:val="Lijstalinea"/>
        <w:numPr>
          <w:ilvl w:val="0"/>
          <w:numId w:val="23"/>
        </w:numPr>
        <w:spacing w:line="360" w:lineRule="auto"/>
      </w:pPr>
      <w:r>
        <w:t>Huur gebouwen</w:t>
      </w:r>
    </w:p>
    <w:p w14:paraId="7393D54A" w14:textId="77777777" w:rsidR="00BC0669" w:rsidRDefault="00BC0669" w:rsidP="00BC0669">
      <w:pPr>
        <w:pStyle w:val="Lijstalinea"/>
        <w:numPr>
          <w:ilvl w:val="0"/>
          <w:numId w:val="23"/>
        </w:numPr>
        <w:spacing w:line="360" w:lineRule="auto"/>
      </w:pPr>
      <w:r>
        <w:t>Deskundigenadvies</w:t>
      </w:r>
    </w:p>
    <w:p w14:paraId="096A76D1" w14:textId="77777777" w:rsidR="00BC0669" w:rsidRDefault="00BC0669" w:rsidP="00BC0669">
      <w:pPr>
        <w:pStyle w:val="Lijstalinea"/>
        <w:numPr>
          <w:ilvl w:val="0"/>
          <w:numId w:val="23"/>
        </w:numPr>
        <w:spacing w:line="360" w:lineRule="auto"/>
      </w:pPr>
      <w:r>
        <w:t>Data communicatie (telefoon/internet)</w:t>
      </w:r>
    </w:p>
    <w:p w14:paraId="545CE63F" w14:textId="77777777" w:rsidR="00BC0669" w:rsidRPr="00924F5D" w:rsidRDefault="00BC0669" w:rsidP="00BC0669">
      <w:pPr>
        <w:pStyle w:val="Lijstalinea"/>
        <w:numPr>
          <w:ilvl w:val="0"/>
          <w:numId w:val="23"/>
        </w:numPr>
        <w:spacing w:line="360" w:lineRule="auto"/>
      </w:pPr>
      <w:r>
        <w:t>Verzekeringen</w:t>
      </w:r>
    </w:p>
    <w:p w14:paraId="0AF9F32E" w14:textId="77777777" w:rsidR="00B742AD" w:rsidRDefault="00D36ABB" w:rsidP="00875913">
      <w:pPr>
        <w:pStyle w:val="Lijstalinea"/>
        <w:numPr>
          <w:ilvl w:val="0"/>
          <w:numId w:val="23"/>
        </w:numPr>
        <w:spacing w:line="360" w:lineRule="auto"/>
      </w:pPr>
      <w:r>
        <w:t xml:space="preserve">ICT </w:t>
      </w:r>
      <w:r w:rsidR="00BC0669">
        <w:t>licenties</w:t>
      </w:r>
    </w:p>
    <w:p w14:paraId="31F2DB97" w14:textId="77777777" w:rsidR="00595D7E" w:rsidRDefault="00595D7E" w:rsidP="00875913">
      <w:pPr>
        <w:spacing w:line="360" w:lineRule="auto"/>
      </w:pPr>
    </w:p>
    <w:p w14:paraId="4CDF0C51" w14:textId="77777777" w:rsidR="00152113" w:rsidRDefault="00B742AD" w:rsidP="004E081A">
      <w:pPr>
        <w:spacing w:line="360" w:lineRule="auto"/>
        <w:rPr>
          <w:rFonts w:cs="Arial"/>
          <w:shd w:val="clear" w:color="auto" w:fill="FFFFFF"/>
        </w:rPr>
      </w:pPr>
      <w:r>
        <w:t xml:space="preserve">In de praktijk </w:t>
      </w:r>
      <w:r w:rsidR="00BC0669">
        <w:t>word</w:t>
      </w:r>
      <w:r w:rsidR="00991727">
        <w:t xml:space="preserve">t met </w:t>
      </w:r>
      <w:r w:rsidR="00BC0669">
        <w:t xml:space="preserve">vaste leveranciers </w:t>
      </w:r>
      <w:r w:rsidR="00991727">
        <w:t xml:space="preserve">gewerkt, waardoor het aantal </w:t>
      </w:r>
      <w:r w:rsidR="00BC0669">
        <w:t xml:space="preserve">beperkt blijft. </w:t>
      </w:r>
      <w:r w:rsidR="001A0379">
        <w:t>Dit</w:t>
      </w:r>
      <w:r w:rsidR="00152113">
        <w:rPr>
          <w:rFonts w:cs="Arial"/>
          <w:shd w:val="clear" w:color="auto" w:fill="FFFFFF"/>
        </w:rPr>
        <w:t xml:space="preserve"> </w:t>
      </w:r>
      <w:r w:rsidR="00152113" w:rsidRPr="009E63D3">
        <w:rPr>
          <w:rFonts w:cs="Arial"/>
          <w:shd w:val="clear" w:color="auto" w:fill="FFFFFF"/>
        </w:rPr>
        <w:t xml:space="preserve"> inkoop</w:t>
      </w:r>
      <w:r w:rsidR="00152113">
        <w:rPr>
          <w:rFonts w:cs="Arial"/>
          <w:shd w:val="clear" w:color="auto" w:fill="FFFFFF"/>
        </w:rPr>
        <w:t xml:space="preserve">beleid </w:t>
      </w:r>
      <w:r w:rsidR="00152113" w:rsidRPr="009E63D3">
        <w:rPr>
          <w:rFonts w:cs="Arial"/>
          <w:shd w:val="clear" w:color="auto" w:fill="FFFFFF"/>
        </w:rPr>
        <w:t xml:space="preserve"> binnen </w:t>
      </w:r>
      <w:r w:rsidR="004E081A">
        <w:rPr>
          <w:rFonts w:cs="Arial"/>
          <w:shd w:val="clear" w:color="auto" w:fill="FFFFFF"/>
        </w:rPr>
        <w:t>het</w:t>
      </w:r>
      <w:r w:rsidR="00152113" w:rsidRPr="009E63D3">
        <w:rPr>
          <w:rFonts w:cs="Arial"/>
          <w:shd w:val="clear" w:color="auto" w:fill="FFFFFF"/>
        </w:rPr>
        <w:t xml:space="preserve"> SWV is erop gericht om de inkoop </w:t>
      </w:r>
      <w:r w:rsidR="00152113" w:rsidRPr="009E63D3">
        <w:rPr>
          <w:rStyle w:val="Nadruk"/>
          <w:rFonts w:eastAsia="Arial Unicode MS" w:cs="Arial"/>
          <w:bdr w:val="none" w:sz="0" w:space="0" w:color="auto" w:frame="1"/>
          <w:shd w:val="clear" w:color="auto" w:fill="FFFFFF"/>
        </w:rPr>
        <w:t>effectief</w:t>
      </w:r>
      <w:r w:rsidR="00152113" w:rsidRPr="009E63D3">
        <w:rPr>
          <w:rFonts w:cs="Arial"/>
          <w:shd w:val="clear" w:color="auto" w:fill="FFFFFF"/>
        </w:rPr>
        <w:t xml:space="preserve">, </w:t>
      </w:r>
      <w:r w:rsidR="00152113" w:rsidRPr="009E63D3">
        <w:rPr>
          <w:rStyle w:val="Nadruk"/>
          <w:rFonts w:eastAsia="Arial Unicode MS" w:cs="Arial"/>
          <w:bdr w:val="none" w:sz="0" w:space="0" w:color="auto" w:frame="1"/>
          <w:shd w:val="clear" w:color="auto" w:fill="FFFFFF"/>
        </w:rPr>
        <w:t>efficiënt</w:t>
      </w:r>
      <w:r w:rsidR="00152113" w:rsidRPr="009E63D3">
        <w:rPr>
          <w:rFonts w:cs="Arial"/>
          <w:shd w:val="clear" w:color="auto" w:fill="FFFFFF"/>
        </w:rPr>
        <w:t xml:space="preserve">, </w:t>
      </w:r>
      <w:r w:rsidR="00904FC6">
        <w:rPr>
          <w:rFonts w:cs="Arial"/>
          <w:shd w:val="clear" w:color="auto" w:fill="FFFFFF"/>
        </w:rPr>
        <w:t xml:space="preserve">kostenbesparend </w:t>
      </w:r>
      <w:r w:rsidR="00152113" w:rsidRPr="009E63D3">
        <w:rPr>
          <w:rFonts w:cs="Arial"/>
          <w:shd w:val="clear" w:color="auto" w:fill="FFFFFF"/>
        </w:rPr>
        <w:t xml:space="preserve"> en rechtmatig te laten verlopen. </w:t>
      </w:r>
    </w:p>
    <w:p w14:paraId="23E85ED0" w14:textId="77777777" w:rsidR="00152113" w:rsidRDefault="00152113" w:rsidP="00152113">
      <w:pPr>
        <w:spacing w:line="360" w:lineRule="auto"/>
      </w:pPr>
    </w:p>
    <w:p w14:paraId="248A0DCF" w14:textId="77777777" w:rsidR="00152113" w:rsidRDefault="004E081A" w:rsidP="004C5688">
      <w:pPr>
        <w:spacing w:line="360" w:lineRule="auto"/>
      </w:pPr>
      <w:r>
        <w:t>Het</w:t>
      </w:r>
      <w:r w:rsidR="004C5688">
        <w:t xml:space="preserve"> SWV </w:t>
      </w:r>
      <w:r w:rsidR="00152113">
        <w:t xml:space="preserve"> streeft </w:t>
      </w:r>
      <w:r w:rsidR="004C5688">
        <w:t xml:space="preserve"> </w:t>
      </w:r>
      <w:r w:rsidR="00152113">
        <w:t>naar verdere inkoopprofessionalisering van haar inkoopfunctie. Concreet betekent dit:</w:t>
      </w:r>
    </w:p>
    <w:p w14:paraId="5F40732C" w14:textId="77777777" w:rsidR="00152113" w:rsidRDefault="00152113" w:rsidP="00152113">
      <w:pPr>
        <w:pStyle w:val="Lijstalinea"/>
        <w:numPr>
          <w:ilvl w:val="0"/>
          <w:numId w:val="6"/>
        </w:numPr>
        <w:spacing w:line="360" w:lineRule="auto"/>
      </w:pPr>
      <w:r>
        <w:t>Dat het doel is om in te kopen tegen de juiste prijs/kwaliteitverhouding, waarbij het inkoopproces transparant is en het beoordelen van de inschrijvers objectief.</w:t>
      </w:r>
    </w:p>
    <w:p w14:paraId="468F48EF" w14:textId="77777777" w:rsidR="00152113" w:rsidRDefault="00152113" w:rsidP="004E081A">
      <w:pPr>
        <w:pStyle w:val="Lijstalinea"/>
        <w:numPr>
          <w:ilvl w:val="0"/>
          <w:numId w:val="6"/>
        </w:numPr>
        <w:spacing w:line="360" w:lineRule="auto"/>
      </w:pPr>
      <w:r>
        <w:t xml:space="preserve">Dat </w:t>
      </w:r>
      <w:r w:rsidR="004E081A">
        <w:t>het</w:t>
      </w:r>
      <w:r>
        <w:t xml:space="preserve"> SWV een integere en betrouwbare opdrachtgever wil zijn, die leveranciers, dienstverleners en aannemers eerlijke en gelijke kansen biedt.</w:t>
      </w:r>
    </w:p>
    <w:p w14:paraId="01EDCC86" w14:textId="77777777" w:rsidR="00152113" w:rsidRDefault="00152113" w:rsidP="004E081A">
      <w:pPr>
        <w:pStyle w:val="Lijstalinea"/>
        <w:numPr>
          <w:ilvl w:val="0"/>
          <w:numId w:val="6"/>
        </w:numPr>
        <w:spacing w:line="360" w:lineRule="auto"/>
      </w:pPr>
      <w:r>
        <w:t xml:space="preserve">Dat de inkoopprocessen een belangrijke bijdrage leveren aan het algehele prestatieniveau van </w:t>
      </w:r>
      <w:r w:rsidR="004E081A">
        <w:t>het</w:t>
      </w:r>
      <w:r>
        <w:t xml:space="preserve"> SWV.</w:t>
      </w:r>
    </w:p>
    <w:p w14:paraId="1ACBE009" w14:textId="77777777" w:rsidR="00152113" w:rsidRDefault="00152113" w:rsidP="00152113">
      <w:pPr>
        <w:pStyle w:val="Lijstalinea"/>
        <w:numPr>
          <w:ilvl w:val="0"/>
          <w:numId w:val="6"/>
        </w:numPr>
        <w:spacing w:line="360" w:lineRule="auto"/>
      </w:pPr>
      <w:r>
        <w:t>Het voldoen aan de relevante regelgeving op zowel nationaal als Europees niveau met betrekking tot overheidsinkopen (rechtmatigheid).</w:t>
      </w:r>
    </w:p>
    <w:p w14:paraId="1A5E8B52" w14:textId="77777777" w:rsidR="00152113" w:rsidRDefault="00152113" w:rsidP="00152113">
      <w:pPr>
        <w:pStyle w:val="Lijstalinea"/>
        <w:numPr>
          <w:ilvl w:val="0"/>
          <w:numId w:val="6"/>
        </w:numPr>
        <w:spacing w:line="360" w:lineRule="auto"/>
      </w:pPr>
      <w:r>
        <w:t>Het vergroten van inkoopkennis en het ontsluiten ervan in de eigen organisatie.</w:t>
      </w:r>
    </w:p>
    <w:p w14:paraId="38138F4C" w14:textId="77777777" w:rsidR="001922A7" w:rsidRDefault="001922A7" w:rsidP="001922A7">
      <w:pPr>
        <w:spacing w:line="360" w:lineRule="auto"/>
      </w:pPr>
    </w:p>
    <w:p w14:paraId="616D2D86" w14:textId="77777777" w:rsidR="001922A7" w:rsidRDefault="001922A7" w:rsidP="001922A7">
      <w:pPr>
        <w:spacing w:line="360" w:lineRule="auto"/>
      </w:pPr>
    </w:p>
    <w:p w14:paraId="3478627E" w14:textId="77777777" w:rsidR="001922A7" w:rsidRDefault="001922A7" w:rsidP="001922A7">
      <w:pPr>
        <w:spacing w:line="360" w:lineRule="auto"/>
      </w:pPr>
    </w:p>
    <w:p w14:paraId="09675C6F" w14:textId="77777777" w:rsidR="001922A7" w:rsidRDefault="001922A7" w:rsidP="001922A7">
      <w:pPr>
        <w:spacing w:line="360" w:lineRule="auto"/>
      </w:pPr>
    </w:p>
    <w:p w14:paraId="5D51CDF0" w14:textId="77777777" w:rsidR="001922A7" w:rsidRDefault="001922A7" w:rsidP="001922A7">
      <w:pPr>
        <w:spacing w:line="360" w:lineRule="auto"/>
      </w:pPr>
    </w:p>
    <w:p w14:paraId="26565232" w14:textId="77777777" w:rsidR="001922A7" w:rsidRDefault="001922A7" w:rsidP="001922A7">
      <w:pPr>
        <w:spacing w:line="360" w:lineRule="auto"/>
      </w:pPr>
    </w:p>
    <w:p w14:paraId="589C121E" w14:textId="77777777" w:rsidR="001922A7" w:rsidRDefault="001922A7" w:rsidP="001922A7">
      <w:pPr>
        <w:spacing w:line="360" w:lineRule="auto"/>
      </w:pPr>
    </w:p>
    <w:p w14:paraId="766FED73" w14:textId="77777777" w:rsidR="001922A7" w:rsidRDefault="001922A7" w:rsidP="001922A7">
      <w:pPr>
        <w:spacing w:line="360" w:lineRule="auto"/>
      </w:pPr>
    </w:p>
    <w:p w14:paraId="3EF54BD7" w14:textId="77777777" w:rsidR="001922A7" w:rsidRDefault="001922A7" w:rsidP="001922A7">
      <w:pPr>
        <w:spacing w:line="360" w:lineRule="auto"/>
      </w:pPr>
    </w:p>
    <w:p w14:paraId="636B42B5" w14:textId="77777777" w:rsidR="001C7F0D" w:rsidRDefault="001C7F0D" w:rsidP="001922A7">
      <w:pPr>
        <w:spacing w:line="360" w:lineRule="auto"/>
      </w:pPr>
    </w:p>
    <w:p w14:paraId="24EAFE29" w14:textId="77777777" w:rsidR="00152113" w:rsidRDefault="00152113" w:rsidP="00152113">
      <w:pPr>
        <w:spacing w:line="360" w:lineRule="auto"/>
        <w:rPr>
          <w:rFonts w:cs="Arial"/>
          <w:shd w:val="clear" w:color="auto" w:fill="FFFFFF"/>
        </w:rPr>
      </w:pPr>
    </w:p>
    <w:p w14:paraId="66252DA7" w14:textId="77777777" w:rsidR="00FB37B8" w:rsidRPr="00924F5D" w:rsidRDefault="008E377B" w:rsidP="0007326C">
      <w:pPr>
        <w:spacing w:line="360" w:lineRule="auto"/>
        <w:rPr>
          <w:b/>
          <w:color w:val="D00606"/>
          <w:sz w:val="24"/>
          <w:szCs w:val="24"/>
        </w:rPr>
      </w:pPr>
      <w:r>
        <w:rPr>
          <w:b/>
          <w:color w:val="D00606"/>
          <w:sz w:val="28"/>
          <w:szCs w:val="28"/>
        </w:rPr>
        <w:lastRenderedPageBreak/>
        <w:t>2</w:t>
      </w:r>
      <w:r w:rsidR="00F668BC" w:rsidRPr="00924F5D">
        <w:rPr>
          <w:b/>
          <w:color w:val="D00606"/>
          <w:sz w:val="24"/>
          <w:szCs w:val="24"/>
        </w:rPr>
        <w:t xml:space="preserve"> </w:t>
      </w:r>
      <w:r w:rsidR="00F668BC" w:rsidRPr="00924F5D">
        <w:rPr>
          <w:b/>
          <w:color w:val="D00606"/>
          <w:sz w:val="24"/>
          <w:szCs w:val="24"/>
        </w:rPr>
        <w:tab/>
      </w:r>
      <w:r>
        <w:rPr>
          <w:b/>
          <w:color w:val="D00606"/>
          <w:sz w:val="24"/>
          <w:szCs w:val="24"/>
        </w:rPr>
        <w:t>I</w:t>
      </w:r>
      <w:r w:rsidR="00D0416C" w:rsidRPr="00924F5D">
        <w:rPr>
          <w:b/>
          <w:color w:val="D00606"/>
          <w:sz w:val="24"/>
          <w:szCs w:val="24"/>
        </w:rPr>
        <w:t xml:space="preserve">nkoopproces binnen </w:t>
      </w:r>
      <w:r w:rsidR="0007326C">
        <w:rPr>
          <w:b/>
          <w:color w:val="D00606"/>
          <w:sz w:val="24"/>
          <w:szCs w:val="24"/>
        </w:rPr>
        <w:t>het</w:t>
      </w:r>
      <w:r w:rsidR="00D0416C" w:rsidRPr="00924F5D">
        <w:rPr>
          <w:b/>
          <w:color w:val="D00606"/>
          <w:sz w:val="24"/>
          <w:szCs w:val="24"/>
        </w:rPr>
        <w:t xml:space="preserve"> </w:t>
      </w:r>
      <w:r w:rsidR="00706B49">
        <w:rPr>
          <w:b/>
          <w:color w:val="D00606"/>
          <w:sz w:val="24"/>
          <w:szCs w:val="24"/>
        </w:rPr>
        <w:t>SWV</w:t>
      </w:r>
    </w:p>
    <w:p w14:paraId="3B5559CD" w14:textId="77777777" w:rsidR="00D0416C" w:rsidRDefault="00D0416C" w:rsidP="00875913">
      <w:pPr>
        <w:spacing w:line="360" w:lineRule="auto"/>
      </w:pPr>
    </w:p>
    <w:p w14:paraId="5462EA28" w14:textId="77777777" w:rsidR="008E377B" w:rsidRDefault="008E377B" w:rsidP="0007326C">
      <w:pPr>
        <w:spacing w:line="360" w:lineRule="auto"/>
      </w:pPr>
      <w:r>
        <w:t xml:space="preserve">Bij de uitvoering van het inkoopproces houdt </w:t>
      </w:r>
      <w:r w:rsidR="0007326C">
        <w:t>het</w:t>
      </w:r>
      <w:r>
        <w:t xml:space="preserve"> SWV zich aan de (Europese) wet- en regelgeving. Dat betekent dat in het geval van grote opdrachten er offertes worden aangevraagd of dat een (Europees) aanbestedingstraject wordt gelopen.</w:t>
      </w:r>
    </w:p>
    <w:p w14:paraId="71BDF4D1" w14:textId="77777777" w:rsidR="008E377B" w:rsidRDefault="008E377B" w:rsidP="008E377B">
      <w:pPr>
        <w:spacing w:line="360" w:lineRule="auto"/>
      </w:pPr>
    </w:p>
    <w:p w14:paraId="1F65F289" w14:textId="77777777" w:rsidR="008E377B" w:rsidRDefault="008E377B" w:rsidP="008E377B">
      <w:pPr>
        <w:spacing w:line="360" w:lineRule="auto"/>
      </w:pPr>
      <w:r>
        <w:t>In de Aanbestedingswet wordt de nadruk gelegd op:</w:t>
      </w:r>
    </w:p>
    <w:p w14:paraId="251627F2" w14:textId="77777777" w:rsidR="008E377B" w:rsidRDefault="008E377B" w:rsidP="008E377B">
      <w:pPr>
        <w:pStyle w:val="Lijstalinea"/>
        <w:numPr>
          <w:ilvl w:val="0"/>
          <w:numId w:val="8"/>
        </w:numPr>
        <w:spacing w:line="360" w:lineRule="auto"/>
      </w:pPr>
      <w:r>
        <w:t>Proportionaliteit, d.w.z. de wijze van aanbesteden moet in een redelijke verhouding staan tot de aard en omvang van de opdracht.</w:t>
      </w:r>
    </w:p>
    <w:p w14:paraId="5E072EE7" w14:textId="77777777" w:rsidR="008E377B" w:rsidRDefault="008E377B" w:rsidP="008E377B">
      <w:pPr>
        <w:pStyle w:val="Lijstalinea"/>
        <w:numPr>
          <w:ilvl w:val="0"/>
          <w:numId w:val="8"/>
        </w:numPr>
        <w:spacing w:line="360" w:lineRule="auto"/>
      </w:pPr>
      <w:r>
        <w:t>Objectiviteit, d.w.z. bij het gunnen mogen geen persoonlijke voorkeuren meewegen.</w:t>
      </w:r>
    </w:p>
    <w:p w14:paraId="549F3267" w14:textId="77777777" w:rsidR="008E377B" w:rsidRDefault="008E377B" w:rsidP="008E377B">
      <w:pPr>
        <w:pStyle w:val="Lijstalinea"/>
        <w:numPr>
          <w:ilvl w:val="0"/>
          <w:numId w:val="8"/>
        </w:numPr>
        <w:spacing w:line="360" w:lineRule="auto"/>
      </w:pPr>
      <w:r>
        <w:t>Non-discriminatie of gelijke behandeling, d.w.z. dat ondernemers bij alle procedures op gelijke en niet-discriminerende wijze worden behandeld.</w:t>
      </w:r>
    </w:p>
    <w:p w14:paraId="7A5D7521" w14:textId="77777777" w:rsidR="008E377B" w:rsidRDefault="008E377B" w:rsidP="008E377B">
      <w:pPr>
        <w:pStyle w:val="Lijstalinea"/>
        <w:numPr>
          <w:ilvl w:val="0"/>
          <w:numId w:val="8"/>
        </w:numPr>
        <w:spacing w:line="360" w:lineRule="auto"/>
      </w:pPr>
      <w:r>
        <w:t>Transparantie, d.w.z. dat vooraf duidelijk is wat de eisen zijn, hoe deze worden getoetst en wat het beoogde resultaat moet zijn.</w:t>
      </w:r>
    </w:p>
    <w:p w14:paraId="6E63596A" w14:textId="77777777" w:rsidR="008E377B" w:rsidRDefault="008E377B" w:rsidP="008E377B">
      <w:pPr>
        <w:spacing w:line="360" w:lineRule="auto"/>
      </w:pPr>
    </w:p>
    <w:p w14:paraId="746A1D08" w14:textId="77777777" w:rsidR="008E377B" w:rsidRDefault="008E377B" w:rsidP="0007326C">
      <w:pPr>
        <w:spacing w:line="360" w:lineRule="auto"/>
      </w:pPr>
      <w:r>
        <w:t xml:space="preserve">Deze uitgangspunten in de Aanbestedingswet hanteert </w:t>
      </w:r>
      <w:r w:rsidR="0007326C">
        <w:t>het</w:t>
      </w:r>
      <w:r>
        <w:t xml:space="preserve"> SWV niet alleen bij het volgen van een aanbestedingstraject, maar bij alle inkopen.</w:t>
      </w:r>
    </w:p>
    <w:p w14:paraId="25E8C0E8" w14:textId="77777777" w:rsidR="00955C9A" w:rsidRPr="00163A52" w:rsidRDefault="0007326C" w:rsidP="0007326C">
      <w:pPr>
        <w:spacing w:line="360" w:lineRule="auto"/>
      </w:pPr>
      <w:r>
        <w:t>Het</w:t>
      </w:r>
      <w:r w:rsidR="0013701E" w:rsidRPr="00163A52">
        <w:t xml:space="preserve"> </w:t>
      </w:r>
      <w:r w:rsidR="00706B49">
        <w:t xml:space="preserve">SWV </w:t>
      </w:r>
      <w:r w:rsidR="0013701E" w:rsidRPr="00163A52">
        <w:t>toetst haar inkopen aan de algemene beginselen en regels van de</w:t>
      </w:r>
      <w:r w:rsidR="001A0379">
        <w:t xml:space="preserve"> vigerende  aanbestedingswet</w:t>
      </w:r>
      <w:r w:rsidR="0013701E" w:rsidRPr="00163A52">
        <w:t>.</w:t>
      </w:r>
      <w:r w:rsidR="001A0379">
        <w:t xml:space="preserve"> Zo wordt onder ander rekening gehouden met de Gids </w:t>
      </w:r>
      <w:r w:rsidR="001A0379" w:rsidRPr="00163A52">
        <w:t>Proportionaliteit</w:t>
      </w:r>
    </w:p>
    <w:p w14:paraId="6D3D47A4" w14:textId="77777777" w:rsidR="00B011B6" w:rsidRDefault="00B011B6" w:rsidP="00875913">
      <w:pPr>
        <w:spacing w:line="360" w:lineRule="auto"/>
      </w:pPr>
    </w:p>
    <w:p w14:paraId="62F243BB" w14:textId="77777777" w:rsidR="00391D40" w:rsidRDefault="00391D40" w:rsidP="00875913">
      <w:pPr>
        <w:spacing w:line="360" w:lineRule="auto"/>
      </w:pPr>
      <w:r w:rsidRPr="00163A52">
        <w:t>De Gids Proportionaliteit geeft voorschriften en richtlijnen waaraan de aanbestedende dienst zich di</w:t>
      </w:r>
      <w:r w:rsidR="00756C74" w:rsidRPr="00163A52">
        <w:t>ent te houden bij haar inkopen, zowel bij Europese aanbestedingen als bij nationale aanbestedingen en de meervoudige onderhandse procedures.</w:t>
      </w:r>
    </w:p>
    <w:p w14:paraId="031D3F2B" w14:textId="77777777" w:rsidR="00706B49" w:rsidRDefault="00706B49" w:rsidP="00706B49">
      <w:pPr>
        <w:spacing w:line="360" w:lineRule="auto"/>
      </w:pPr>
      <w:r>
        <w:t>D</w:t>
      </w:r>
      <w:r w:rsidRPr="00163A52">
        <w:t>e grenzen welke in de Gids P</w:t>
      </w:r>
      <w:r>
        <w:t>roportionaliteit worden genoemd, zijn als volgt:</w:t>
      </w:r>
    </w:p>
    <w:p w14:paraId="140D0D1F" w14:textId="77777777" w:rsidR="001922A7" w:rsidRDefault="001922A7" w:rsidP="00706B49">
      <w:pPr>
        <w:spacing w:line="36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57"/>
        <w:gridCol w:w="2418"/>
        <w:gridCol w:w="4185"/>
      </w:tblGrid>
      <w:tr w:rsidR="00756C74" w:rsidRPr="00163A52" w14:paraId="1F635444" w14:textId="77777777" w:rsidTr="001922A7">
        <w:tc>
          <w:tcPr>
            <w:tcW w:w="2488" w:type="dxa"/>
          </w:tcPr>
          <w:p w14:paraId="53BD1017" w14:textId="77777777" w:rsidR="00756C74" w:rsidRPr="00163A52" w:rsidRDefault="00756C74" w:rsidP="00F365FB">
            <w:pPr>
              <w:spacing w:line="360" w:lineRule="auto"/>
              <w:rPr>
                <w:b/>
              </w:rPr>
            </w:pPr>
            <w:r w:rsidRPr="00163A52">
              <w:rPr>
                <w:b/>
              </w:rPr>
              <w:t>Bedrag opdracht</w:t>
            </w:r>
            <w:r w:rsidR="004E081A">
              <w:rPr>
                <w:b/>
              </w:rPr>
              <w:t xml:space="preserve"> (excl. btw)</w:t>
            </w:r>
          </w:p>
        </w:tc>
        <w:tc>
          <w:tcPr>
            <w:tcW w:w="2418" w:type="dxa"/>
          </w:tcPr>
          <w:p w14:paraId="171F2B2F" w14:textId="77777777" w:rsidR="00756C74" w:rsidRPr="00163A52" w:rsidRDefault="00756C74" w:rsidP="00875913">
            <w:pPr>
              <w:spacing w:line="360" w:lineRule="auto"/>
              <w:rPr>
                <w:b/>
              </w:rPr>
            </w:pPr>
            <w:r w:rsidRPr="00163A52">
              <w:rPr>
                <w:b/>
              </w:rPr>
              <w:t>Vorm aanbesteden</w:t>
            </w:r>
          </w:p>
        </w:tc>
        <w:tc>
          <w:tcPr>
            <w:tcW w:w="4380" w:type="dxa"/>
          </w:tcPr>
          <w:p w14:paraId="21C861F9" w14:textId="77777777" w:rsidR="00756C74" w:rsidRPr="00163A52" w:rsidRDefault="00756C74" w:rsidP="00875913">
            <w:pPr>
              <w:spacing w:line="360" w:lineRule="auto"/>
              <w:rPr>
                <w:b/>
              </w:rPr>
            </w:pPr>
            <w:r w:rsidRPr="00163A52">
              <w:rPr>
                <w:b/>
              </w:rPr>
              <w:t xml:space="preserve">Opmerkingen </w:t>
            </w:r>
          </w:p>
        </w:tc>
      </w:tr>
      <w:tr w:rsidR="00756C74" w:rsidRPr="00163A52" w14:paraId="18701B20" w14:textId="77777777" w:rsidTr="001922A7">
        <w:tc>
          <w:tcPr>
            <w:tcW w:w="2488" w:type="dxa"/>
          </w:tcPr>
          <w:p w14:paraId="40A48121" w14:textId="77777777" w:rsidR="00F365FB" w:rsidRDefault="00FC058D" w:rsidP="00F365FB">
            <w:pPr>
              <w:spacing w:line="360" w:lineRule="auto"/>
            </w:pPr>
            <w:r>
              <w:rPr>
                <w:rFonts w:cs="Arial"/>
              </w:rPr>
              <w:t xml:space="preserve">€ </w:t>
            </w:r>
            <w:r>
              <w:t xml:space="preserve">7.500 (producten) / </w:t>
            </w:r>
            <w:r>
              <w:rPr>
                <w:rFonts w:cs="Arial"/>
              </w:rPr>
              <w:t>€</w:t>
            </w:r>
            <w:r>
              <w:t xml:space="preserve"> 10.000 (diensten) tot </w:t>
            </w:r>
          </w:p>
          <w:p w14:paraId="01FAB352" w14:textId="77777777" w:rsidR="00756C74" w:rsidRPr="00163A52" w:rsidRDefault="00FC058D" w:rsidP="00F365FB">
            <w:pPr>
              <w:spacing w:line="360" w:lineRule="auto"/>
            </w:pPr>
            <w:r w:rsidRPr="00163A52">
              <w:rPr>
                <w:rFonts w:cs="Arial"/>
              </w:rPr>
              <w:t>€</w:t>
            </w:r>
            <w:r w:rsidRPr="00163A52">
              <w:t> 30.000</w:t>
            </w:r>
          </w:p>
        </w:tc>
        <w:tc>
          <w:tcPr>
            <w:tcW w:w="2418" w:type="dxa"/>
          </w:tcPr>
          <w:p w14:paraId="09BE0C96" w14:textId="77777777" w:rsidR="00CD0513" w:rsidRPr="00163A52" w:rsidRDefault="00A73D6F" w:rsidP="00A73D6F">
            <w:pPr>
              <w:spacing w:line="360" w:lineRule="auto"/>
            </w:pPr>
            <w:r w:rsidRPr="00163A52">
              <w:t>Enkelvoudige o</w:t>
            </w:r>
            <w:r w:rsidR="00CD0513" w:rsidRPr="00163A52">
              <w:t>nderhands</w:t>
            </w:r>
            <w:r w:rsidRPr="00163A52">
              <w:t xml:space="preserve">e </w:t>
            </w:r>
            <w:r w:rsidR="00F365FB" w:rsidRPr="00163A52">
              <w:t>aanbestedingsprocedure</w:t>
            </w:r>
          </w:p>
        </w:tc>
        <w:tc>
          <w:tcPr>
            <w:tcW w:w="4380" w:type="dxa"/>
          </w:tcPr>
          <w:p w14:paraId="5AF58805" w14:textId="77777777" w:rsidR="00CD0513" w:rsidRPr="00163A52" w:rsidRDefault="00CD0513" w:rsidP="00875913">
            <w:pPr>
              <w:spacing w:line="360" w:lineRule="auto"/>
            </w:pPr>
            <w:r w:rsidRPr="00163A52">
              <w:t>Minimaal 2 offertes opvragen .</w:t>
            </w:r>
          </w:p>
        </w:tc>
      </w:tr>
      <w:tr w:rsidR="00756C74" w:rsidRPr="00163A52" w14:paraId="68FD9150" w14:textId="77777777" w:rsidTr="001922A7">
        <w:tc>
          <w:tcPr>
            <w:tcW w:w="2488" w:type="dxa"/>
          </w:tcPr>
          <w:p w14:paraId="1FCD53B9" w14:textId="77777777" w:rsidR="00756C74" w:rsidRPr="00163A52" w:rsidRDefault="00CD0513" w:rsidP="00875913">
            <w:pPr>
              <w:spacing w:line="360" w:lineRule="auto"/>
            </w:pPr>
            <w:r w:rsidRPr="00163A52">
              <w:rPr>
                <w:rFonts w:cs="Arial"/>
              </w:rPr>
              <w:t>€</w:t>
            </w:r>
            <w:r w:rsidRPr="00163A52">
              <w:t xml:space="preserve"> 30.000 - </w:t>
            </w:r>
            <w:r w:rsidRPr="00163A52">
              <w:rPr>
                <w:rFonts w:cs="Arial"/>
              </w:rPr>
              <w:t>€</w:t>
            </w:r>
            <w:r w:rsidRPr="00163A52">
              <w:t> 100.000/</w:t>
            </w:r>
            <w:r w:rsidRPr="00163A52">
              <w:rPr>
                <w:rFonts w:cs="Arial"/>
              </w:rPr>
              <w:t>€ </w:t>
            </w:r>
            <w:r w:rsidRPr="00163A52">
              <w:t>150.000</w:t>
            </w:r>
          </w:p>
        </w:tc>
        <w:tc>
          <w:tcPr>
            <w:tcW w:w="2418" w:type="dxa"/>
          </w:tcPr>
          <w:p w14:paraId="2311A36B" w14:textId="77777777" w:rsidR="00CD0513" w:rsidRPr="00163A52" w:rsidRDefault="00CD0513" w:rsidP="00875913">
            <w:pPr>
              <w:spacing w:line="360" w:lineRule="auto"/>
            </w:pPr>
            <w:r w:rsidRPr="00163A52">
              <w:t>Meervoudig</w:t>
            </w:r>
            <w:r w:rsidR="00A73D6F" w:rsidRPr="00163A52">
              <w:t>e onderhandse aanbestedingsprocedure</w:t>
            </w:r>
          </w:p>
        </w:tc>
        <w:tc>
          <w:tcPr>
            <w:tcW w:w="4380" w:type="dxa"/>
          </w:tcPr>
          <w:p w14:paraId="76B71716" w14:textId="77777777" w:rsidR="00CD0513" w:rsidRPr="00163A52" w:rsidRDefault="00CD0513" w:rsidP="00CD0513">
            <w:pPr>
              <w:spacing w:line="360" w:lineRule="auto"/>
            </w:pPr>
            <w:r w:rsidRPr="00163A52">
              <w:t>Drie tot vijf offertes opvragen en o.b.v. proportionaliteit, transparantie, objectiviteit en non discriminatie contracteren. Dit is feitelijk ook aanbesteden.</w:t>
            </w:r>
          </w:p>
        </w:tc>
      </w:tr>
      <w:tr w:rsidR="00756C74" w:rsidRPr="00163A52" w14:paraId="08C5950E" w14:textId="77777777" w:rsidTr="001922A7">
        <w:tc>
          <w:tcPr>
            <w:tcW w:w="2488" w:type="dxa"/>
          </w:tcPr>
          <w:p w14:paraId="62BCA0AC" w14:textId="77777777" w:rsidR="00756C74" w:rsidRPr="00CB5A9E" w:rsidRDefault="00CD0513" w:rsidP="00F90BF7">
            <w:pPr>
              <w:spacing w:line="360" w:lineRule="auto"/>
            </w:pPr>
            <w:r w:rsidRPr="00CB5A9E">
              <w:rPr>
                <w:rFonts w:cs="Arial"/>
              </w:rPr>
              <w:t>€</w:t>
            </w:r>
            <w:r w:rsidRPr="00CB5A9E">
              <w:t xml:space="preserve"> 150.000 - </w:t>
            </w:r>
            <w:r w:rsidRPr="00CB5A9E">
              <w:rPr>
                <w:rFonts w:cs="Arial"/>
              </w:rPr>
              <w:t>€</w:t>
            </w:r>
            <w:r w:rsidRPr="00CB5A9E">
              <w:t> 2</w:t>
            </w:r>
            <w:r w:rsidR="00F90BF7" w:rsidRPr="00CB5A9E">
              <w:t>21</w:t>
            </w:r>
            <w:r w:rsidRPr="00CB5A9E">
              <w:t>.000</w:t>
            </w:r>
          </w:p>
        </w:tc>
        <w:tc>
          <w:tcPr>
            <w:tcW w:w="2418" w:type="dxa"/>
          </w:tcPr>
          <w:p w14:paraId="796CD4ED" w14:textId="77777777" w:rsidR="00CD0513" w:rsidRPr="00163A52" w:rsidRDefault="00A73D6F" w:rsidP="00A73D6F">
            <w:pPr>
              <w:spacing w:line="360" w:lineRule="auto"/>
            </w:pPr>
            <w:r w:rsidRPr="00163A52">
              <w:t>Nationale</w:t>
            </w:r>
            <w:r w:rsidR="00CD0513" w:rsidRPr="00163A52">
              <w:t xml:space="preserve"> aanbested</w:t>
            </w:r>
            <w:r w:rsidRPr="00163A52">
              <w:t>ingsprocedure</w:t>
            </w:r>
          </w:p>
        </w:tc>
        <w:tc>
          <w:tcPr>
            <w:tcW w:w="4380" w:type="dxa"/>
          </w:tcPr>
          <w:p w14:paraId="5F317E42" w14:textId="77777777" w:rsidR="00A73D6F" w:rsidRPr="00163A52" w:rsidRDefault="0007326C" w:rsidP="0007326C">
            <w:pPr>
              <w:spacing w:line="360" w:lineRule="auto"/>
            </w:pPr>
            <w:r>
              <w:t>Het</w:t>
            </w:r>
            <w:r w:rsidR="00A73D6F" w:rsidRPr="00163A52">
              <w:t xml:space="preserve"> </w:t>
            </w:r>
            <w:r w:rsidR="008E377B">
              <w:t>SWV</w:t>
            </w:r>
            <w:r w:rsidR="00A73D6F" w:rsidRPr="00163A52">
              <w:t xml:space="preserve"> schakelt eventueel een </w:t>
            </w:r>
            <w:r w:rsidR="00273092" w:rsidRPr="00163A52">
              <w:t>adviesbureau in.</w:t>
            </w:r>
          </w:p>
        </w:tc>
      </w:tr>
      <w:tr w:rsidR="00756C74" w:rsidRPr="00163A52" w14:paraId="30BF8232" w14:textId="77777777" w:rsidTr="001922A7">
        <w:tc>
          <w:tcPr>
            <w:tcW w:w="2488" w:type="dxa"/>
          </w:tcPr>
          <w:p w14:paraId="1EF3DCDB" w14:textId="77777777" w:rsidR="00CD0513" w:rsidRPr="00CB5A9E" w:rsidRDefault="00CD0513" w:rsidP="00F90BF7">
            <w:pPr>
              <w:spacing w:line="360" w:lineRule="auto"/>
            </w:pPr>
            <w:r w:rsidRPr="00CB5A9E">
              <w:t xml:space="preserve">Boven </w:t>
            </w:r>
            <w:r w:rsidRPr="00CB5A9E">
              <w:rPr>
                <w:rFonts w:cs="Arial"/>
              </w:rPr>
              <w:t>€</w:t>
            </w:r>
            <w:r w:rsidRPr="00CB5A9E">
              <w:t> 2</w:t>
            </w:r>
            <w:r w:rsidR="00F90BF7" w:rsidRPr="00CB5A9E">
              <w:t>21</w:t>
            </w:r>
            <w:r w:rsidRPr="00CB5A9E">
              <w:t>.000</w:t>
            </w:r>
          </w:p>
        </w:tc>
        <w:tc>
          <w:tcPr>
            <w:tcW w:w="2418" w:type="dxa"/>
          </w:tcPr>
          <w:p w14:paraId="0C6C7BD4" w14:textId="77777777" w:rsidR="00CD0513" w:rsidRPr="00163A52" w:rsidRDefault="00A73D6F" w:rsidP="00A73D6F">
            <w:pPr>
              <w:spacing w:line="360" w:lineRule="auto"/>
            </w:pPr>
            <w:r w:rsidRPr="00163A52">
              <w:t>Europe</w:t>
            </w:r>
            <w:r w:rsidR="00CD0513" w:rsidRPr="00163A52">
              <w:t>s</w:t>
            </w:r>
            <w:r w:rsidRPr="00163A52">
              <w:t>e</w:t>
            </w:r>
            <w:r w:rsidR="00CD0513" w:rsidRPr="00163A52">
              <w:t xml:space="preserve"> aanbested</w:t>
            </w:r>
            <w:r w:rsidRPr="00163A52">
              <w:t xml:space="preserve">ingsprocedure </w:t>
            </w:r>
          </w:p>
        </w:tc>
        <w:tc>
          <w:tcPr>
            <w:tcW w:w="4380" w:type="dxa"/>
          </w:tcPr>
          <w:p w14:paraId="38D72552" w14:textId="77777777" w:rsidR="00273092" w:rsidRPr="00163A52" w:rsidRDefault="0007326C" w:rsidP="0007326C">
            <w:pPr>
              <w:spacing w:line="360" w:lineRule="auto"/>
            </w:pPr>
            <w:r>
              <w:t>Het</w:t>
            </w:r>
            <w:r w:rsidR="00273092" w:rsidRPr="00163A52">
              <w:t xml:space="preserve"> </w:t>
            </w:r>
            <w:r w:rsidR="008E377B">
              <w:t>SWV</w:t>
            </w:r>
            <w:r w:rsidR="00273092" w:rsidRPr="00163A52">
              <w:t xml:space="preserve"> schakelt een adviesbureau in.</w:t>
            </w:r>
          </w:p>
        </w:tc>
      </w:tr>
    </w:tbl>
    <w:p w14:paraId="3DF295FA" w14:textId="77777777" w:rsidR="00756C74" w:rsidRPr="00163A52" w:rsidRDefault="00756C74" w:rsidP="00875913">
      <w:pPr>
        <w:spacing w:line="360" w:lineRule="auto"/>
      </w:pPr>
    </w:p>
    <w:p w14:paraId="1E705B2F" w14:textId="77777777" w:rsidR="00B00C4F" w:rsidRDefault="00B00C4F" w:rsidP="00875913">
      <w:pPr>
        <w:spacing w:line="360" w:lineRule="auto"/>
        <w:rPr>
          <w:i/>
        </w:rPr>
      </w:pPr>
    </w:p>
    <w:p w14:paraId="5766D8DD" w14:textId="77777777" w:rsidR="00B00C4F" w:rsidRDefault="00B00C4F" w:rsidP="00875913">
      <w:pPr>
        <w:spacing w:line="360" w:lineRule="auto"/>
        <w:rPr>
          <w:i/>
        </w:rPr>
      </w:pPr>
    </w:p>
    <w:p w14:paraId="1F9A785E" w14:textId="77777777" w:rsidR="00B00C4F" w:rsidRDefault="00B00C4F" w:rsidP="00875913">
      <w:pPr>
        <w:spacing w:line="360" w:lineRule="auto"/>
        <w:rPr>
          <w:i/>
        </w:rPr>
      </w:pPr>
    </w:p>
    <w:p w14:paraId="04087F13" w14:textId="77777777" w:rsidR="00C05112" w:rsidRDefault="00C05112" w:rsidP="00875913">
      <w:pPr>
        <w:spacing w:line="360" w:lineRule="auto"/>
      </w:pPr>
      <w:r>
        <w:rPr>
          <w:i/>
        </w:rPr>
        <w:t>AANBESTEDEN</w:t>
      </w:r>
    </w:p>
    <w:p w14:paraId="54FFB5F9" w14:textId="77777777" w:rsidR="00C05112" w:rsidRDefault="00C05112" w:rsidP="00875913">
      <w:pPr>
        <w:spacing w:line="360" w:lineRule="auto"/>
      </w:pPr>
      <w:r>
        <w:t xml:space="preserve">De aanbesteding vindt plaats volgens de wettelijke regels. Dat wil o.a. zeggen dat rekening gehouden wordt  met de proportionaliteit, objectiviteit, non-discriminatie of gelijk behandeling, transparantie en met een vorm van </w:t>
      </w:r>
      <w:proofErr w:type="spellStart"/>
      <w:r>
        <w:t>social</w:t>
      </w:r>
      <w:proofErr w:type="spellEnd"/>
      <w:r>
        <w:t xml:space="preserve"> return (duurzaam inkopen). De gunning vindt plaats op basis van de economisch meest voordelige inschrijving (EMVI).</w:t>
      </w:r>
    </w:p>
    <w:p w14:paraId="70F4E287" w14:textId="77777777" w:rsidR="00C05112" w:rsidRDefault="00C05112" w:rsidP="00875913">
      <w:pPr>
        <w:spacing w:line="360" w:lineRule="auto"/>
      </w:pPr>
    </w:p>
    <w:p w14:paraId="7DA34369" w14:textId="77777777" w:rsidR="00353D40" w:rsidRPr="00CB5A9E" w:rsidRDefault="009422F9" w:rsidP="009422F9">
      <w:pPr>
        <w:spacing w:line="276" w:lineRule="auto"/>
        <w:rPr>
          <w:b/>
        </w:rPr>
      </w:pPr>
      <w:r>
        <w:rPr>
          <w:b/>
        </w:rPr>
        <w:t>D</w:t>
      </w:r>
      <w:r w:rsidR="00353D40" w:rsidRPr="009422F9">
        <w:rPr>
          <w:b/>
        </w:rPr>
        <w:t>rempe</w:t>
      </w:r>
      <w:r w:rsidRPr="009422F9">
        <w:rPr>
          <w:b/>
        </w:rPr>
        <w:t>l</w:t>
      </w:r>
      <w:r w:rsidR="00353D40" w:rsidRPr="009422F9">
        <w:rPr>
          <w:b/>
        </w:rPr>
        <w:t>bedragen voor Europese aanbestedingen (excl. BTW) bij de decentrale</w:t>
      </w:r>
      <w:r w:rsidR="00F90BF7">
        <w:rPr>
          <w:b/>
        </w:rPr>
        <w:t xml:space="preserve"> </w:t>
      </w:r>
      <w:r w:rsidR="00353D40" w:rsidRPr="009422F9">
        <w:rPr>
          <w:b/>
        </w:rPr>
        <w:t xml:space="preserve">overheid </w:t>
      </w:r>
      <w:r w:rsidRPr="009422F9">
        <w:rPr>
          <w:b/>
        </w:rPr>
        <w:t>per</w:t>
      </w:r>
      <w:r w:rsidR="00F90BF7">
        <w:rPr>
          <w:b/>
        </w:rPr>
        <w:t xml:space="preserve"> </w:t>
      </w:r>
      <w:r w:rsidR="00F90BF7" w:rsidRPr="00CB5A9E">
        <w:rPr>
          <w:b/>
        </w:rPr>
        <w:t>1 januari 2018</w:t>
      </w:r>
    </w:p>
    <w:p w14:paraId="7B5E0269" w14:textId="77777777" w:rsidR="00353D40" w:rsidRPr="00CB5A9E" w:rsidRDefault="00353D40" w:rsidP="009422F9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7"/>
        <w:gridCol w:w="2114"/>
        <w:gridCol w:w="2596"/>
        <w:gridCol w:w="2083"/>
      </w:tblGrid>
      <w:tr w:rsidR="00353D40" w:rsidRPr="00CB5A9E" w14:paraId="08CD511E" w14:textId="77777777" w:rsidTr="00353D40">
        <w:tc>
          <w:tcPr>
            <w:tcW w:w="2303" w:type="dxa"/>
          </w:tcPr>
          <w:p w14:paraId="608F6C4E" w14:textId="77777777" w:rsidR="00353D40" w:rsidRPr="00CB5A9E" w:rsidRDefault="00353D40" w:rsidP="009422F9">
            <w:pPr>
              <w:spacing w:line="276" w:lineRule="auto"/>
            </w:pPr>
          </w:p>
        </w:tc>
        <w:tc>
          <w:tcPr>
            <w:tcW w:w="2303" w:type="dxa"/>
          </w:tcPr>
          <w:p w14:paraId="793AD768" w14:textId="77777777" w:rsidR="00353D40" w:rsidRPr="00CB5A9E" w:rsidRDefault="00353D40" w:rsidP="009422F9">
            <w:pPr>
              <w:spacing w:line="276" w:lineRule="auto"/>
            </w:pPr>
            <w:r w:rsidRPr="00CB5A9E">
              <w:t>Werken (bouw)</w:t>
            </w:r>
          </w:p>
        </w:tc>
        <w:tc>
          <w:tcPr>
            <w:tcW w:w="2303" w:type="dxa"/>
          </w:tcPr>
          <w:p w14:paraId="6166A046" w14:textId="77777777" w:rsidR="00353D40" w:rsidRPr="00CB5A9E" w:rsidRDefault="00353D40" w:rsidP="009422F9">
            <w:pPr>
              <w:spacing w:line="276" w:lineRule="auto"/>
            </w:pPr>
            <w:r w:rsidRPr="00CB5A9E">
              <w:t>Leveringen (goederen en lease-, huur, of huurkoopovereenkomsten</w:t>
            </w:r>
            <w:r w:rsidR="00613170" w:rsidRPr="00CB5A9E">
              <w:t>)</w:t>
            </w:r>
          </w:p>
        </w:tc>
        <w:tc>
          <w:tcPr>
            <w:tcW w:w="2303" w:type="dxa"/>
          </w:tcPr>
          <w:p w14:paraId="391F820F" w14:textId="77777777" w:rsidR="00353D40" w:rsidRPr="00CB5A9E" w:rsidRDefault="00353D40" w:rsidP="009422F9">
            <w:pPr>
              <w:spacing w:line="276" w:lineRule="auto"/>
            </w:pPr>
            <w:r w:rsidRPr="00CB5A9E">
              <w:t>Diensten</w:t>
            </w:r>
          </w:p>
        </w:tc>
      </w:tr>
      <w:tr w:rsidR="00353D40" w14:paraId="4669AD5E" w14:textId="77777777" w:rsidTr="00353D40">
        <w:tc>
          <w:tcPr>
            <w:tcW w:w="2303" w:type="dxa"/>
          </w:tcPr>
          <w:p w14:paraId="47ADB34E" w14:textId="77777777" w:rsidR="00353D40" w:rsidRPr="00CB5A9E" w:rsidRDefault="00353D40" w:rsidP="009422F9">
            <w:pPr>
              <w:spacing w:line="276" w:lineRule="auto"/>
            </w:pPr>
          </w:p>
          <w:p w14:paraId="6DC49525" w14:textId="77777777" w:rsidR="00353D40" w:rsidRPr="00CB5A9E" w:rsidRDefault="00353D40" w:rsidP="009422F9">
            <w:pPr>
              <w:spacing w:line="276" w:lineRule="auto"/>
            </w:pPr>
            <w:r w:rsidRPr="00CB5A9E">
              <w:t>Onderwijsinstellingen</w:t>
            </w:r>
          </w:p>
          <w:p w14:paraId="299A962B" w14:textId="77777777" w:rsidR="00353D40" w:rsidRPr="00CB5A9E" w:rsidRDefault="00353D40" w:rsidP="009422F9">
            <w:pPr>
              <w:spacing w:line="276" w:lineRule="auto"/>
            </w:pPr>
          </w:p>
        </w:tc>
        <w:tc>
          <w:tcPr>
            <w:tcW w:w="2303" w:type="dxa"/>
          </w:tcPr>
          <w:p w14:paraId="2A7FAE7D" w14:textId="77777777" w:rsidR="00353D40" w:rsidRPr="00CB5A9E" w:rsidRDefault="00353D40" w:rsidP="009422F9">
            <w:pPr>
              <w:spacing w:line="276" w:lineRule="auto"/>
              <w:jc w:val="center"/>
            </w:pPr>
          </w:p>
          <w:p w14:paraId="7F55B418" w14:textId="77777777" w:rsidR="00353D40" w:rsidRPr="00CB5A9E" w:rsidRDefault="00353D40" w:rsidP="00F90BF7">
            <w:pPr>
              <w:spacing w:line="276" w:lineRule="auto"/>
              <w:jc w:val="center"/>
            </w:pPr>
            <w:r w:rsidRPr="00CB5A9E">
              <w:rPr>
                <w:rFonts w:cs="Arial"/>
              </w:rPr>
              <w:t>€</w:t>
            </w:r>
            <w:r w:rsidRPr="00CB5A9E">
              <w:t> 5.</w:t>
            </w:r>
            <w:r w:rsidR="00F90BF7" w:rsidRPr="00CB5A9E">
              <w:t>548</w:t>
            </w:r>
            <w:r w:rsidRPr="00CB5A9E">
              <w:t>.000</w:t>
            </w:r>
          </w:p>
        </w:tc>
        <w:tc>
          <w:tcPr>
            <w:tcW w:w="2303" w:type="dxa"/>
          </w:tcPr>
          <w:p w14:paraId="15EAEFE3" w14:textId="77777777" w:rsidR="00353D40" w:rsidRPr="00CB5A9E" w:rsidRDefault="00353D40" w:rsidP="009422F9">
            <w:pPr>
              <w:spacing w:line="276" w:lineRule="auto"/>
              <w:jc w:val="center"/>
            </w:pPr>
          </w:p>
          <w:p w14:paraId="710191FB" w14:textId="77777777" w:rsidR="00353D40" w:rsidRPr="00CB5A9E" w:rsidRDefault="00353D40" w:rsidP="00F90BF7">
            <w:pPr>
              <w:spacing w:line="276" w:lineRule="auto"/>
              <w:jc w:val="center"/>
            </w:pPr>
            <w:r w:rsidRPr="00CB5A9E">
              <w:rPr>
                <w:rFonts w:cs="Arial"/>
              </w:rPr>
              <w:t>€</w:t>
            </w:r>
            <w:r w:rsidR="00F90BF7" w:rsidRPr="00CB5A9E">
              <w:t> 221</w:t>
            </w:r>
            <w:r w:rsidRPr="00CB5A9E">
              <w:t>.000</w:t>
            </w:r>
          </w:p>
        </w:tc>
        <w:tc>
          <w:tcPr>
            <w:tcW w:w="2303" w:type="dxa"/>
          </w:tcPr>
          <w:p w14:paraId="644A4510" w14:textId="77777777" w:rsidR="00F90BF7" w:rsidRPr="00CB5A9E" w:rsidRDefault="00F90BF7" w:rsidP="004E081A">
            <w:pPr>
              <w:spacing w:line="276" w:lineRule="auto"/>
              <w:jc w:val="center"/>
              <w:rPr>
                <w:rFonts w:cs="Arial"/>
              </w:rPr>
            </w:pPr>
          </w:p>
          <w:p w14:paraId="104872D2" w14:textId="77777777" w:rsidR="00353D40" w:rsidRDefault="00F90BF7" w:rsidP="004E081A">
            <w:pPr>
              <w:spacing w:line="276" w:lineRule="auto"/>
              <w:jc w:val="center"/>
            </w:pPr>
            <w:r w:rsidRPr="00CB5A9E">
              <w:rPr>
                <w:rFonts w:cs="Arial"/>
              </w:rPr>
              <w:t>€</w:t>
            </w:r>
            <w:r w:rsidRPr="00CB5A9E">
              <w:t> 221.000</w:t>
            </w:r>
          </w:p>
        </w:tc>
      </w:tr>
    </w:tbl>
    <w:p w14:paraId="5F2CC923" w14:textId="77777777" w:rsidR="00353D40" w:rsidRDefault="00353D40" w:rsidP="00875913">
      <w:pPr>
        <w:spacing w:line="360" w:lineRule="auto"/>
      </w:pPr>
    </w:p>
    <w:p w14:paraId="542D2353" w14:textId="77777777" w:rsidR="00353D40" w:rsidRDefault="00465A62" w:rsidP="00875913">
      <w:pPr>
        <w:spacing w:line="360" w:lineRule="auto"/>
      </w:pPr>
      <w:r>
        <w:t>Voor het bepalen van de opdrachtwaarde van een werk geldt de waarde van het totale werk, inclusief de waarde van de bijbehorende leveringen en diensten.</w:t>
      </w:r>
    </w:p>
    <w:p w14:paraId="62B0F84C" w14:textId="77777777" w:rsidR="00465A62" w:rsidRDefault="00465A62" w:rsidP="00875913">
      <w:pPr>
        <w:spacing w:line="360" w:lineRule="auto"/>
      </w:pPr>
      <w:r>
        <w:t>Voor de diensten en leveringen is het bepalen van de waarde afhankelijk van de contractduur. Is die contractduur voor onbepaalde tijd, dan wordt de periode van vier jaar aangenomen.</w:t>
      </w:r>
    </w:p>
    <w:p w14:paraId="3A3270F3" w14:textId="77777777" w:rsidR="00E97407" w:rsidRDefault="00E97407" w:rsidP="00875913">
      <w:pPr>
        <w:spacing w:line="360" w:lineRule="auto"/>
      </w:pPr>
    </w:p>
    <w:p w14:paraId="3C23DEFD" w14:textId="77777777" w:rsidR="00E97407" w:rsidRDefault="00E97407" w:rsidP="00E97407">
      <w:pPr>
        <w:spacing w:line="360" w:lineRule="auto"/>
        <w:rPr>
          <w:b/>
          <w:color w:val="D00606"/>
          <w:sz w:val="24"/>
          <w:szCs w:val="24"/>
        </w:rPr>
      </w:pPr>
      <w:r>
        <w:rPr>
          <w:b/>
          <w:color w:val="D00606"/>
          <w:sz w:val="28"/>
          <w:szCs w:val="28"/>
        </w:rPr>
        <w:t>3</w:t>
      </w:r>
      <w:r w:rsidRPr="00924F5D">
        <w:rPr>
          <w:b/>
          <w:color w:val="D00606"/>
          <w:sz w:val="24"/>
          <w:szCs w:val="24"/>
        </w:rPr>
        <w:t xml:space="preserve"> </w:t>
      </w:r>
      <w:r w:rsidRPr="00924F5D">
        <w:rPr>
          <w:b/>
          <w:color w:val="D00606"/>
          <w:sz w:val="24"/>
          <w:szCs w:val="24"/>
        </w:rPr>
        <w:tab/>
      </w:r>
      <w:r>
        <w:rPr>
          <w:b/>
          <w:color w:val="D00606"/>
          <w:sz w:val="24"/>
          <w:szCs w:val="24"/>
        </w:rPr>
        <w:t>I</w:t>
      </w:r>
      <w:r w:rsidRPr="00924F5D">
        <w:rPr>
          <w:b/>
          <w:color w:val="D00606"/>
          <w:sz w:val="24"/>
          <w:szCs w:val="24"/>
        </w:rPr>
        <w:t>nkoopproces</w:t>
      </w:r>
      <w:r w:rsidR="004E081A">
        <w:rPr>
          <w:b/>
          <w:color w:val="D00606"/>
          <w:sz w:val="24"/>
          <w:szCs w:val="24"/>
        </w:rPr>
        <w:t>,</w:t>
      </w:r>
      <w:r>
        <w:rPr>
          <w:b/>
          <w:color w:val="D00606"/>
          <w:sz w:val="24"/>
          <w:szCs w:val="24"/>
        </w:rPr>
        <w:t xml:space="preserve"> wie doet wat</w:t>
      </w:r>
      <w:r w:rsidR="004E081A">
        <w:rPr>
          <w:b/>
          <w:color w:val="D00606"/>
          <w:sz w:val="24"/>
          <w:szCs w:val="24"/>
        </w:rPr>
        <w:t>?</w:t>
      </w:r>
    </w:p>
    <w:p w14:paraId="78A44D46" w14:textId="77777777" w:rsidR="00887694" w:rsidRDefault="00887694" w:rsidP="00E97407">
      <w:pPr>
        <w:spacing w:line="360" w:lineRule="auto"/>
        <w:rPr>
          <w:bCs/>
        </w:rPr>
      </w:pPr>
      <w:r>
        <w:rPr>
          <w:bCs/>
        </w:rPr>
        <w:t>In de periode 2014 t/m 2019 stond de hieronder staande afspraak:</w:t>
      </w:r>
    </w:p>
    <w:p w14:paraId="14421702" w14:textId="77777777" w:rsidR="00AF58B2" w:rsidRPr="00CB5A9E" w:rsidRDefault="00AF58B2" w:rsidP="00AF58B2">
      <w:pPr>
        <w:spacing w:line="360" w:lineRule="auto"/>
        <w:rPr>
          <w:rFonts w:asciiTheme="minorBidi" w:hAnsiTheme="minorBidi" w:cstheme="minorBidi"/>
        </w:rPr>
      </w:pPr>
      <w:r w:rsidRPr="00CB5A9E">
        <w:rPr>
          <w:rFonts w:asciiTheme="minorBidi" w:hAnsiTheme="minorBidi" w:cstheme="minorBidi"/>
        </w:rPr>
        <w:t>Bij bedragen tot €25.000,- kan de directeur beslissen, daarbij is de volgende uitsplitsing gemaakt:</w:t>
      </w:r>
    </w:p>
    <w:p w14:paraId="46796F22" w14:textId="77777777" w:rsidR="00960F8C" w:rsidRPr="00CB5A9E" w:rsidRDefault="00960F8C" w:rsidP="00AF58B2">
      <w:pPr>
        <w:pStyle w:val="Lijstalinea"/>
        <w:numPr>
          <w:ilvl w:val="0"/>
          <w:numId w:val="27"/>
        </w:numPr>
        <w:spacing w:line="360" w:lineRule="auto"/>
      </w:pPr>
      <w:r w:rsidRPr="00CB5A9E">
        <w:rPr>
          <w:rFonts w:asciiTheme="minorBidi" w:hAnsiTheme="minorBidi" w:cstheme="minorBidi"/>
        </w:rPr>
        <w:t xml:space="preserve">Bij </w:t>
      </w:r>
      <w:r w:rsidRPr="00CB5A9E">
        <w:t xml:space="preserve">offertes onder de €10.000,-  </w:t>
      </w:r>
      <w:r w:rsidR="004E081A" w:rsidRPr="00CB5A9E">
        <w:t>(excl.</w:t>
      </w:r>
      <w:r w:rsidR="002F3D2F" w:rsidRPr="00CB5A9E">
        <w:t xml:space="preserve"> </w:t>
      </w:r>
      <w:r w:rsidR="004E081A" w:rsidRPr="00CB5A9E">
        <w:t xml:space="preserve">btw) </w:t>
      </w:r>
      <w:r w:rsidR="00AF58B2" w:rsidRPr="00CB5A9E">
        <w:t>wordt 1 offerte aangevraagd.</w:t>
      </w:r>
    </w:p>
    <w:p w14:paraId="3BA9492A" w14:textId="77777777" w:rsidR="00960F8C" w:rsidRPr="00CB5A9E" w:rsidRDefault="00960F8C" w:rsidP="00AF58B2">
      <w:pPr>
        <w:pStyle w:val="Lijstalinea"/>
        <w:numPr>
          <w:ilvl w:val="0"/>
          <w:numId w:val="27"/>
        </w:numPr>
        <w:spacing w:line="360" w:lineRule="auto"/>
      </w:pPr>
      <w:r w:rsidRPr="00CB5A9E">
        <w:t xml:space="preserve">Bij offertes tussen de €10.000,- </w:t>
      </w:r>
      <w:r w:rsidR="004E081A" w:rsidRPr="00CB5A9E">
        <w:t>(excl.</w:t>
      </w:r>
      <w:r w:rsidR="002F3D2F" w:rsidRPr="00CB5A9E">
        <w:t xml:space="preserve"> </w:t>
      </w:r>
      <w:r w:rsidR="004E081A" w:rsidRPr="00CB5A9E">
        <w:t xml:space="preserve">btw ) </w:t>
      </w:r>
      <w:r w:rsidR="00AF58B2" w:rsidRPr="00CB5A9E">
        <w:t>en </w:t>
      </w:r>
      <w:r w:rsidR="00713950">
        <w:t>t/m</w:t>
      </w:r>
      <w:r w:rsidR="00AF58B2" w:rsidRPr="00CB5A9E">
        <w:t xml:space="preserve"> €25</w:t>
      </w:r>
      <w:r w:rsidRPr="00CB5A9E">
        <w:t>.000,-</w:t>
      </w:r>
      <w:r w:rsidR="00AF58B2" w:rsidRPr="00CB5A9E">
        <w:t xml:space="preserve"> (excl.</w:t>
      </w:r>
      <w:r w:rsidR="002F3D2F" w:rsidRPr="00CB5A9E">
        <w:t xml:space="preserve"> </w:t>
      </w:r>
      <w:r w:rsidR="00AF58B2" w:rsidRPr="00CB5A9E">
        <w:t xml:space="preserve">btw) </w:t>
      </w:r>
      <w:r w:rsidRPr="00CB5A9E">
        <w:t xml:space="preserve"> </w:t>
      </w:r>
      <w:r w:rsidR="00AF58B2" w:rsidRPr="00CB5A9E">
        <w:t>worden minimaal 2 offertes</w:t>
      </w:r>
      <w:r w:rsidRPr="00CB5A9E">
        <w:t xml:space="preserve"> </w:t>
      </w:r>
      <w:r w:rsidR="00AF58B2" w:rsidRPr="00CB5A9E">
        <w:t xml:space="preserve">aangevraagd en </w:t>
      </w:r>
      <w:r w:rsidRPr="00CB5A9E">
        <w:rPr>
          <w:u w:val="single"/>
        </w:rPr>
        <w:t>kan</w:t>
      </w:r>
      <w:r w:rsidRPr="00CB5A9E">
        <w:t xml:space="preserve"> vooroverleg met de penningmeester plaatsvinden. Dit naar inschatting van de directeur.</w:t>
      </w:r>
    </w:p>
    <w:p w14:paraId="6868939E" w14:textId="523566E5" w:rsidR="00E97407" w:rsidRDefault="00AF58B2" w:rsidP="00E97407">
      <w:pPr>
        <w:spacing w:line="360" w:lineRule="auto"/>
      </w:pPr>
      <w:r w:rsidRPr="00CB5A9E">
        <w:t xml:space="preserve">Bij offertes vanaf </w:t>
      </w:r>
      <w:r w:rsidRPr="00CB5A9E">
        <w:rPr>
          <w:rFonts w:cs="Arial"/>
        </w:rPr>
        <w:t>€</w:t>
      </w:r>
      <w:r w:rsidRPr="00CB5A9E">
        <w:t>25.000,- (excl.</w:t>
      </w:r>
      <w:r w:rsidR="002F3D2F" w:rsidRPr="00CB5A9E">
        <w:t xml:space="preserve"> </w:t>
      </w:r>
      <w:r w:rsidRPr="00CB5A9E">
        <w:t xml:space="preserve">btw)  wordt er met 3 offertes gewerkt. </w:t>
      </w:r>
      <w:r w:rsidR="002F3D2F" w:rsidRPr="00CB5A9E">
        <w:t xml:space="preserve">Er is vooroverleg met de penningmeester. </w:t>
      </w:r>
      <w:r w:rsidR="00960F8C" w:rsidRPr="00CB5A9E">
        <w:t xml:space="preserve">Het bestuur ontvangt bij de offertes een advies </w:t>
      </w:r>
      <w:r w:rsidRPr="00CB5A9E">
        <w:t xml:space="preserve">van de directeur </w:t>
      </w:r>
      <w:r w:rsidR="002F3D2F" w:rsidRPr="00CB5A9E">
        <w:t xml:space="preserve">en penningmeester </w:t>
      </w:r>
      <w:r w:rsidR="00960F8C" w:rsidRPr="00CB5A9E">
        <w:t>waarin de voorkeur voor één offerte kenbaar wordt gemaakt en toegelicht. He</w:t>
      </w:r>
      <w:r w:rsidR="00D376AA" w:rsidRPr="00CB5A9E">
        <w:t>t bestuur neemt een beslissing.</w:t>
      </w:r>
    </w:p>
    <w:p w14:paraId="60913E28" w14:textId="77777777" w:rsidR="00887694" w:rsidRDefault="00887694" w:rsidP="00E97407">
      <w:pPr>
        <w:spacing w:line="360" w:lineRule="auto"/>
      </w:pPr>
    </w:p>
    <w:p w14:paraId="65B951C1" w14:textId="52650E48" w:rsidR="00887694" w:rsidRPr="00CB5A9E" w:rsidRDefault="00887694" w:rsidP="00E97407">
      <w:pPr>
        <w:spacing w:line="360" w:lineRule="auto"/>
      </w:pPr>
      <w:r>
        <w:t xml:space="preserve">Vanaf 1-1-20 bestaat het bestuur van het </w:t>
      </w:r>
      <w:proofErr w:type="spellStart"/>
      <w:r>
        <w:t>swv</w:t>
      </w:r>
      <w:proofErr w:type="spellEnd"/>
      <w:r>
        <w:t xml:space="preserve"> uit de directeur/bestuurder. Het bestuur bestaat daarmee uit </w:t>
      </w:r>
      <w:r>
        <w:rPr>
          <w:rFonts w:cs="Arial"/>
        </w:rPr>
        <w:t>éé</w:t>
      </w:r>
      <w:r>
        <w:t>n functionaris. Deze is bevoegd om zelfstandig besluiten te nemen aangaande het inkoopproces.</w:t>
      </w:r>
    </w:p>
    <w:p w14:paraId="0EF3F98E" w14:textId="77777777" w:rsidR="00B00C4F" w:rsidRDefault="00B00C4F" w:rsidP="00E97407">
      <w:pPr>
        <w:spacing w:line="360" w:lineRule="auto"/>
        <w:rPr>
          <w:b/>
          <w:color w:val="D00606"/>
          <w:sz w:val="28"/>
          <w:szCs w:val="28"/>
        </w:rPr>
      </w:pPr>
    </w:p>
    <w:p w14:paraId="40B9784E" w14:textId="77777777" w:rsidR="00CB5A9E" w:rsidRDefault="00CB5A9E" w:rsidP="00E97407">
      <w:pPr>
        <w:spacing w:line="360" w:lineRule="auto"/>
        <w:rPr>
          <w:b/>
          <w:color w:val="D00606"/>
          <w:sz w:val="28"/>
          <w:szCs w:val="28"/>
        </w:rPr>
      </w:pPr>
    </w:p>
    <w:p w14:paraId="26491943" w14:textId="77777777" w:rsidR="00CB5A9E" w:rsidRDefault="00CB5A9E" w:rsidP="00E97407">
      <w:pPr>
        <w:spacing w:line="360" w:lineRule="auto"/>
        <w:rPr>
          <w:b/>
          <w:color w:val="D00606"/>
          <w:sz w:val="28"/>
          <w:szCs w:val="28"/>
        </w:rPr>
      </w:pPr>
    </w:p>
    <w:p w14:paraId="4E253387" w14:textId="77777777" w:rsidR="00B00C4F" w:rsidRDefault="00B00C4F" w:rsidP="00FF514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2911"/>
        <w:gridCol w:w="2911"/>
      </w:tblGrid>
      <w:tr w:rsidR="00FF514B" w:rsidRPr="00CB5A9E" w14:paraId="343DA803" w14:textId="77777777" w:rsidTr="00FF514B"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9657" w14:textId="77777777" w:rsidR="00FF514B" w:rsidRPr="00CB5A9E" w:rsidRDefault="00FF514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B5A9E">
              <w:rPr>
                <w:rFonts w:ascii="Times New Roman" w:hAnsi="Times New Roman"/>
              </w:rPr>
              <w:t>Bedrag in euro’s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4858" w14:textId="77777777" w:rsidR="00FF514B" w:rsidRPr="00887694" w:rsidRDefault="00FF514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887694">
              <w:rPr>
                <w:rFonts w:ascii="Times New Roman" w:hAnsi="Times New Roman"/>
              </w:rPr>
              <w:t>Beslissing door: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2F69" w14:textId="77777777" w:rsidR="00FF514B" w:rsidRPr="00CB5A9E" w:rsidRDefault="00FF514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B5A9E">
              <w:rPr>
                <w:rFonts w:ascii="Times New Roman" w:hAnsi="Times New Roman"/>
              </w:rPr>
              <w:t>Aantal offertes</w:t>
            </w:r>
          </w:p>
        </w:tc>
      </w:tr>
      <w:tr w:rsidR="00FF514B" w:rsidRPr="00CB5A9E" w14:paraId="7CFDB8A2" w14:textId="77777777" w:rsidTr="00FF514B"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3EE7" w14:textId="77777777" w:rsidR="00FF514B" w:rsidRPr="00CB5A9E" w:rsidRDefault="00FF514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B5A9E">
              <w:rPr>
                <w:rFonts w:ascii="Times New Roman" w:hAnsi="Times New Roman"/>
              </w:rPr>
              <w:t>Tot 10.000,-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E628" w14:textId="0562A9F6" w:rsidR="00FF514B" w:rsidRPr="00887694" w:rsidRDefault="00887694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887694">
              <w:rPr>
                <w:rFonts w:ascii="Times New Roman" w:hAnsi="Times New Roman"/>
              </w:rPr>
              <w:t>D</w:t>
            </w:r>
            <w:r w:rsidR="00FF514B" w:rsidRPr="00887694">
              <w:rPr>
                <w:rFonts w:ascii="Times New Roman" w:hAnsi="Times New Roman"/>
              </w:rPr>
              <w:t>irecteur</w:t>
            </w:r>
            <w:r w:rsidRPr="00887694">
              <w:rPr>
                <w:rFonts w:ascii="Times New Roman" w:hAnsi="Times New Roman"/>
              </w:rPr>
              <w:t>/bestuurder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55E2" w14:textId="77777777" w:rsidR="00FF514B" w:rsidRPr="00CB5A9E" w:rsidRDefault="00FF514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B5A9E">
              <w:rPr>
                <w:rFonts w:ascii="Times New Roman" w:hAnsi="Times New Roman"/>
              </w:rPr>
              <w:t>Minimaal 1</w:t>
            </w:r>
          </w:p>
        </w:tc>
      </w:tr>
      <w:tr w:rsidR="00FF514B" w:rsidRPr="00CB5A9E" w14:paraId="4B2A09D5" w14:textId="77777777" w:rsidTr="00FF514B"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10AB" w14:textId="77777777" w:rsidR="00FF514B" w:rsidRPr="00CB5A9E" w:rsidRDefault="00526C1D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B5A9E">
              <w:rPr>
                <w:rFonts w:ascii="Times New Roman" w:hAnsi="Times New Roman"/>
              </w:rPr>
              <w:t>10.000</w:t>
            </w:r>
            <w:r w:rsidR="00713950">
              <w:rPr>
                <w:rFonts w:ascii="Times New Roman" w:hAnsi="Times New Roman"/>
              </w:rPr>
              <w:t>,- t/m</w:t>
            </w:r>
            <w:r w:rsidR="00AF58B2" w:rsidRPr="00CB5A9E">
              <w:rPr>
                <w:rFonts w:ascii="Times New Roman" w:hAnsi="Times New Roman"/>
              </w:rPr>
              <w:t xml:space="preserve"> 25</w:t>
            </w:r>
            <w:r w:rsidR="00FF514B" w:rsidRPr="00CB5A9E">
              <w:rPr>
                <w:rFonts w:ascii="Times New Roman" w:hAnsi="Times New Roman"/>
              </w:rPr>
              <w:t>.000,-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46AA" w14:textId="37EED88D" w:rsidR="00FF514B" w:rsidRPr="00887694" w:rsidRDefault="00887694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887694">
              <w:rPr>
                <w:rFonts w:ascii="Times New Roman" w:hAnsi="Times New Roman"/>
              </w:rPr>
              <w:t>D</w:t>
            </w:r>
            <w:r w:rsidR="00AF58B2" w:rsidRPr="00887694">
              <w:rPr>
                <w:rFonts w:ascii="Times New Roman" w:hAnsi="Times New Roman"/>
              </w:rPr>
              <w:t>irecteur</w:t>
            </w:r>
            <w:r w:rsidRPr="00887694">
              <w:rPr>
                <w:rFonts w:ascii="Times New Roman" w:hAnsi="Times New Roman"/>
              </w:rPr>
              <w:t>/bestuurder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B9BC" w14:textId="77777777" w:rsidR="00FF514B" w:rsidRPr="00CB5A9E" w:rsidRDefault="00FF514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B5A9E">
              <w:rPr>
                <w:rFonts w:ascii="Times New Roman" w:hAnsi="Times New Roman"/>
              </w:rPr>
              <w:t>Minimaal 2</w:t>
            </w:r>
          </w:p>
        </w:tc>
      </w:tr>
      <w:tr w:rsidR="00FF514B" w14:paraId="30101A79" w14:textId="77777777" w:rsidTr="00FF514B"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147C" w14:textId="77777777" w:rsidR="00FF514B" w:rsidRPr="00CB5A9E" w:rsidRDefault="00AF58B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B5A9E">
              <w:rPr>
                <w:rFonts w:ascii="Times New Roman" w:hAnsi="Times New Roman"/>
              </w:rPr>
              <w:t>Hoger dan 25</w:t>
            </w:r>
            <w:r w:rsidR="00FF514B" w:rsidRPr="00CB5A9E">
              <w:rPr>
                <w:rFonts w:ascii="Times New Roman" w:hAnsi="Times New Roman"/>
              </w:rPr>
              <w:t>.000,-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A64C" w14:textId="61BA01C7" w:rsidR="00FF514B" w:rsidRPr="00887694" w:rsidRDefault="00887694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887694">
              <w:rPr>
                <w:rFonts w:ascii="Times New Roman" w:hAnsi="Times New Roman"/>
              </w:rPr>
              <w:t>Directeur/</w:t>
            </w:r>
            <w:r w:rsidR="00526C1D" w:rsidRPr="00887694">
              <w:rPr>
                <w:rFonts w:ascii="Times New Roman" w:hAnsi="Times New Roman"/>
              </w:rPr>
              <w:t>bestuur</w:t>
            </w:r>
            <w:r w:rsidRPr="00887694">
              <w:rPr>
                <w:rFonts w:ascii="Times New Roman" w:hAnsi="Times New Roman"/>
              </w:rPr>
              <w:t>der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95DD" w14:textId="77777777" w:rsidR="00FF514B" w:rsidRDefault="00FF514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B5A9E">
              <w:rPr>
                <w:rFonts w:ascii="Times New Roman" w:hAnsi="Times New Roman"/>
              </w:rPr>
              <w:t>Minimaal 3</w:t>
            </w:r>
          </w:p>
        </w:tc>
      </w:tr>
    </w:tbl>
    <w:p w14:paraId="74D46FF7" w14:textId="77777777" w:rsidR="00FF514B" w:rsidRDefault="00FF514B" w:rsidP="00E97407">
      <w:pPr>
        <w:spacing w:line="360" w:lineRule="auto"/>
        <w:rPr>
          <w:b/>
          <w:color w:val="D00606"/>
          <w:sz w:val="24"/>
          <w:szCs w:val="24"/>
        </w:rPr>
      </w:pPr>
    </w:p>
    <w:p w14:paraId="14D85909" w14:textId="77777777" w:rsidR="00EB1372" w:rsidRDefault="00EB1372" w:rsidP="00EB1372">
      <w:pPr>
        <w:spacing w:line="360" w:lineRule="auto"/>
        <w:rPr>
          <w:b/>
          <w:color w:val="D00606"/>
          <w:sz w:val="24"/>
          <w:szCs w:val="24"/>
        </w:rPr>
      </w:pPr>
      <w:r>
        <w:rPr>
          <w:b/>
          <w:color w:val="D00606"/>
          <w:sz w:val="28"/>
          <w:szCs w:val="28"/>
        </w:rPr>
        <w:t>5</w:t>
      </w:r>
      <w:r w:rsidRPr="00924F5D">
        <w:rPr>
          <w:b/>
          <w:color w:val="D00606"/>
          <w:sz w:val="24"/>
          <w:szCs w:val="24"/>
        </w:rPr>
        <w:t xml:space="preserve"> </w:t>
      </w:r>
      <w:r w:rsidRPr="00924F5D">
        <w:rPr>
          <w:b/>
          <w:color w:val="D00606"/>
          <w:sz w:val="24"/>
          <w:szCs w:val="24"/>
        </w:rPr>
        <w:tab/>
      </w:r>
      <w:r>
        <w:rPr>
          <w:b/>
          <w:color w:val="D00606"/>
          <w:sz w:val="24"/>
          <w:szCs w:val="24"/>
        </w:rPr>
        <w:t>Contractbeheer</w:t>
      </w:r>
    </w:p>
    <w:p w14:paraId="4ADC5CF3" w14:textId="77777777" w:rsidR="00EB1372" w:rsidRDefault="00EB1372" w:rsidP="00960F8C">
      <w:pPr>
        <w:spacing w:line="360" w:lineRule="auto"/>
        <w:rPr>
          <w:bCs/>
        </w:rPr>
      </w:pPr>
      <w:r w:rsidRPr="00EB1372">
        <w:rPr>
          <w:bCs/>
        </w:rPr>
        <w:t xml:space="preserve">Wegens kleinschaligheid </w:t>
      </w:r>
      <w:r>
        <w:rPr>
          <w:bCs/>
        </w:rPr>
        <w:t>en gering</w:t>
      </w:r>
      <w:r w:rsidR="004E081A">
        <w:rPr>
          <w:bCs/>
        </w:rPr>
        <w:t>e</w:t>
      </w:r>
      <w:r>
        <w:rPr>
          <w:bCs/>
        </w:rPr>
        <w:t xml:space="preserve"> inkopen binnen </w:t>
      </w:r>
      <w:r w:rsidR="00960F8C">
        <w:rPr>
          <w:bCs/>
        </w:rPr>
        <w:t>het</w:t>
      </w:r>
      <w:r w:rsidRPr="00EB1372">
        <w:rPr>
          <w:bCs/>
        </w:rPr>
        <w:t xml:space="preserve"> SWV, worden alle contracten centraal afgesloten</w:t>
      </w:r>
      <w:r>
        <w:rPr>
          <w:bCs/>
        </w:rPr>
        <w:t xml:space="preserve"> en beheerd. Hierdoor is inzicht  in het verlengen of opzeggen van contracten en is zicht op de verplichtingen die uit de contracten voortkomen.</w:t>
      </w:r>
    </w:p>
    <w:p w14:paraId="02E6B657" w14:textId="77777777" w:rsidR="00EB1372" w:rsidRDefault="00EB1372" w:rsidP="00EB1372">
      <w:pPr>
        <w:spacing w:line="360" w:lineRule="auto"/>
        <w:rPr>
          <w:bCs/>
        </w:rPr>
      </w:pPr>
    </w:p>
    <w:p w14:paraId="67EDD5D6" w14:textId="77777777" w:rsidR="00EB1372" w:rsidRPr="00EB1372" w:rsidRDefault="00EB1372" w:rsidP="00EB1372">
      <w:pPr>
        <w:spacing w:line="360" w:lineRule="auto"/>
        <w:rPr>
          <w:bCs/>
        </w:rPr>
      </w:pPr>
    </w:p>
    <w:p w14:paraId="2A314F5C" w14:textId="77777777" w:rsidR="00875913" w:rsidRDefault="00875913" w:rsidP="00706B49">
      <w:pPr>
        <w:spacing w:line="360" w:lineRule="auto"/>
      </w:pPr>
    </w:p>
    <w:p w14:paraId="40BE3405" w14:textId="77777777" w:rsidR="00F84B42" w:rsidRPr="00D0416C" w:rsidRDefault="00F84B42" w:rsidP="00706B49">
      <w:pPr>
        <w:spacing w:line="360" w:lineRule="auto"/>
      </w:pPr>
    </w:p>
    <w:sectPr w:rsidR="00F84B42" w:rsidRPr="00D0416C" w:rsidSect="00BB57BF">
      <w:pgSz w:w="11906" w:h="16838"/>
      <w:pgMar w:top="1134" w:right="1418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96C8" w14:textId="77777777" w:rsidR="005E3A14" w:rsidRDefault="005E3A14" w:rsidP="0020252F">
      <w:r>
        <w:separator/>
      </w:r>
    </w:p>
  </w:endnote>
  <w:endnote w:type="continuationSeparator" w:id="0">
    <w:p w14:paraId="13A5A233" w14:textId="77777777" w:rsidR="005E3A14" w:rsidRDefault="005E3A14" w:rsidP="0020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905576"/>
      <w:docPartObj>
        <w:docPartGallery w:val="Page Numbers (Bottom of Page)"/>
        <w:docPartUnique/>
      </w:docPartObj>
    </w:sdtPr>
    <w:sdtEndPr/>
    <w:sdtContent>
      <w:p w14:paraId="2BD6EC7F" w14:textId="77777777" w:rsidR="00FF514B" w:rsidRDefault="00FF514B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CE6F47" wp14:editId="0F8FC2E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F654E" w14:textId="77777777" w:rsidR="00FF514B" w:rsidRDefault="00FF514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02202" w:rsidRPr="00402202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9CE6F47" id="Rechthoek 650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" filled="f" fillcolor="#c0504d" stroked="f" strokecolor="#5c83b4" strokeweight="2.25pt">
                  <v:textbox inset=",0,,0">
                    <w:txbxContent>
                      <w:p w14:paraId="4B6F654E" w14:textId="77777777" w:rsidR="00FF514B" w:rsidRDefault="00FF514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02202" w:rsidRPr="00402202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1935A031" wp14:editId="394F4414">
              <wp:extent cx="3169920" cy="621665"/>
              <wp:effectExtent l="0" t="0" r="0" b="6985"/>
              <wp:docPr id="7" name="Afbeelding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9920" cy="6216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D50B7" w14:textId="77777777" w:rsidR="005E3A14" w:rsidRDefault="005E3A14" w:rsidP="0020252F">
      <w:r>
        <w:separator/>
      </w:r>
    </w:p>
  </w:footnote>
  <w:footnote w:type="continuationSeparator" w:id="0">
    <w:p w14:paraId="0B2947E0" w14:textId="77777777" w:rsidR="005E3A14" w:rsidRDefault="005E3A14" w:rsidP="0020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075"/>
    <w:multiLevelType w:val="hybridMultilevel"/>
    <w:tmpl w:val="016CEA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1DD9"/>
    <w:multiLevelType w:val="hybridMultilevel"/>
    <w:tmpl w:val="AF62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81D24"/>
    <w:multiLevelType w:val="hybridMultilevel"/>
    <w:tmpl w:val="E64805F0"/>
    <w:lvl w:ilvl="0" w:tplc="0038D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717"/>
    <w:multiLevelType w:val="hybridMultilevel"/>
    <w:tmpl w:val="27148E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E6CA7"/>
    <w:multiLevelType w:val="hybridMultilevel"/>
    <w:tmpl w:val="0412A4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86C8D"/>
    <w:multiLevelType w:val="hybridMultilevel"/>
    <w:tmpl w:val="627A4198"/>
    <w:lvl w:ilvl="0" w:tplc="8EDC01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00ADA"/>
    <w:multiLevelType w:val="hybridMultilevel"/>
    <w:tmpl w:val="15EA26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1EF0"/>
    <w:multiLevelType w:val="hybridMultilevel"/>
    <w:tmpl w:val="1CFE83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A0F24"/>
    <w:multiLevelType w:val="hybridMultilevel"/>
    <w:tmpl w:val="254C39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FF05E5"/>
    <w:multiLevelType w:val="hybridMultilevel"/>
    <w:tmpl w:val="917EF4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6690"/>
    <w:multiLevelType w:val="hybridMultilevel"/>
    <w:tmpl w:val="DCC073A4"/>
    <w:lvl w:ilvl="0" w:tplc="C9A8D230">
      <w:start w:val="1"/>
      <w:numFmt w:val="decimal"/>
      <w:lvlText w:val="%1"/>
      <w:lvlJc w:val="center"/>
      <w:pPr>
        <w:ind w:left="720" w:hanging="360"/>
      </w:pPr>
      <w:rPr>
        <w:rFonts w:ascii="Arial" w:hAnsi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36D3"/>
    <w:multiLevelType w:val="hybridMultilevel"/>
    <w:tmpl w:val="F34080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760179"/>
    <w:multiLevelType w:val="hybridMultilevel"/>
    <w:tmpl w:val="7A404E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432776"/>
    <w:multiLevelType w:val="hybridMultilevel"/>
    <w:tmpl w:val="12AA6E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D0AE1"/>
    <w:multiLevelType w:val="hybridMultilevel"/>
    <w:tmpl w:val="F35A84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00695"/>
    <w:multiLevelType w:val="hybridMultilevel"/>
    <w:tmpl w:val="86BA2C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82A5A"/>
    <w:multiLevelType w:val="hybridMultilevel"/>
    <w:tmpl w:val="04E882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9659D"/>
    <w:multiLevelType w:val="hybridMultilevel"/>
    <w:tmpl w:val="38440748"/>
    <w:lvl w:ilvl="0" w:tplc="9066172A">
      <w:start w:val="1"/>
      <w:numFmt w:val="bullet"/>
      <w:lvlText w:val="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color w:val="C00000"/>
      </w:rPr>
    </w:lvl>
    <w:lvl w:ilvl="1" w:tplc="0413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46683603"/>
    <w:multiLevelType w:val="hybridMultilevel"/>
    <w:tmpl w:val="C1F09B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C147D"/>
    <w:multiLevelType w:val="hybridMultilevel"/>
    <w:tmpl w:val="634CC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24315"/>
    <w:multiLevelType w:val="hybridMultilevel"/>
    <w:tmpl w:val="789C68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530F2"/>
    <w:multiLevelType w:val="hybridMultilevel"/>
    <w:tmpl w:val="7ED65E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15D63"/>
    <w:multiLevelType w:val="hybridMultilevel"/>
    <w:tmpl w:val="B35670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F038C"/>
    <w:multiLevelType w:val="hybridMultilevel"/>
    <w:tmpl w:val="3C1C58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87CF2"/>
    <w:multiLevelType w:val="hybridMultilevel"/>
    <w:tmpl w:val="5CBE4A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04E96"/>
    <w:multiLevelType w:val="hybridMultilevel"/>
    <w:tmpl w:val="1C5EB774"/>
    <w:lvl w:ilvl="0" w:tplc="8EDC01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080084"/>
    <w:multiLevelType w:val="hybridMultilevel"/>
    <w:tmpl w:val="CC8CB0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7"/>
  </w:num>
  <w:num w:numId="6">
    <w:abstractNumId w:val="24"/>
  </w:num>
  <w:num w:numId="7">
    <w:abstractNumId w:val="25"/>
  </w:num>
  <w:num w:numId="8">
    <w:abstractNumId w:val="26"/>
  </w:num>
  <w:num w:numId="9">
    <w:abstractNumId w:val="5"/>
  </w:num>
  <w:num w:numId="10">
    <w:abstractNumId w:val="14"/>
  </w:num>
  <w:num w:numId="11">
    <w:abstractNumId w:val="23"/>
  </w:num>
  <w:num w:numId="12">
    <w:abstractNumId w:val="6"/>
  </w:num>
  <w:num w:numId="13">
    <w:abstractNumId w:val="4"/>
  </w:num>
  <w:num w:numId="14">
    <w:abstractNumId w:val="2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9"/>
  </w:num>
  <w:num w:numId="20">
    <w:abstractNumId w:val="10"/>
  </w:num>
  <w:num w:numId="21">
    <w:abstractNumId w:val="22"/>
  </w:num>
  <w:num w:numId="22">
    <w:abstractNumId w:val="19"/>
  </w:num>
  <w:num w:numId="23">
    <w:abstractNumId w:val="8"/>
  </w:num>
  <w:num w:numId="24">
    <w:abstractNumId w:val="0"/>
  </w:num>
  <w:num w:numId="25">
    <w:abstractNumId w:val="15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98"/>
    <w:rsid w:val="00032F2A"/>
    <w:rsid w:val="000348E1"/>
    <w:rsid w:val="00035BD3"/>
    <w:rsid w:val="000430D3"/>
    <w:rsid w:val="00065BF4"/>
    <w:rsid w:val="0007326C"/>
    <w:rsid w:val="00094D3A"/>
    <w:rsid w:val="000A2437"/>
    <w:rsid w:val="000A50B4"/>
    <w:rsid w:val="001007B6"/>
    <w:rsid w:val="0013701E"/>
    <w:rsid w:val="001429CE"/>
    <w:rsid w:val="00152113"/>
    <w:rsid w:val="00163A52"/>
    <w:rsid w:val="0016497F"/>
    <w:rsid w:val="00164E4B"/>
    <w:rsid w:val="001922A7"/>
    <w:rsid w:val="00193F19"/>
    <w:rsid w:val="001A0379"/>
    <w:rsid w:val="001C7F0D"/>
    <w:rsid w:val="001D3F24"/>
    <w:rsid w:val="001E2D24"/>
    <w:rsid w:val="001E6F01"/>
    <w:rsid w:val="001F04D0"/>
    <w:rsid w:val="001F692B"/>
    <w:rsid w:val="0020252F"/>
    <w:rsid w:val="00211F8F"/>
    <w:rsid w:val="00245908"/>
    <w:rsid w:val="00246CB4"/>
    <w:rsid w:val="002529AC"/>
    <w:rsid w:val="0026461B"/>
    <w:rsid w:val="00273092"/>
    <w:rsid w:val="00280D5D"/>
    <w:rsid w:val="00286C2C"/>
    <w:rsid w:val="00293BBB"/>
    <w:rsid w:val="002B09F1"/>
    <w:rsid w:val="002B0E53"/>
    <w:rsid w:val="002B3746"/>
    <w:rsid w:val="002B7547"/>
    <w:rsid w:val="002C1493"/>
    <w:rsid w:val="002D2B8F"/>
    <w:rsid w:val="002D3E57"/>
    <w:rsid w:val="002E607F"/>
    <w:rsid w:val="002E7774"/>
    <w:rsid w:val="002F3D2F"/>
    <w:rsid w:val="002F40FD"/>
    <w:rsid w:val="00316889"/>
    <w:rsid w:val="003268D8"/>
    <w:rsid w:val="00342484"/>
    <w:rsid w:val="00353D40"/>
    <w:rsid w:val="00375AD9"/>
    <w:rsid w:val="00383462"/>
    <w:rsid w:val="00391D40"/>
    <w:rsid w:val="003953CF"/>
    <w:rsid w:val="003A1406"/>
    <w:rsid w:val="003A4D45"/>
    <w:rsid w:val="003B6FC4"/>
    <w:rsid w:val="003D7F6C"/>
    <w:rsid w:val="003F0E36"/>
    <w:rsid w:val="003F2FF5"/>
    <w:rsid w:val="00402202"/>
    <w:rsid w:val="00417C80"/>
    <w:rsid w:val="00420CF5"/>
    <w:rsid w:val="0044393C"/>
    <w:rsid w:val="00465A62"/>
    <w:rsid w:val="00482C52"/>
    <w:rsid w:val="004A4C61"/>
    <w:rsid w:val="004C155E"/>
    <w:rsid w:val="004C5688"/>
    <w:rsid w:val="004D28A4"/>
    <w:rsid w:val="004E081A"/>
    <w:rsid w:val="00501410"/>
    <w:rsid w:val="00526C1D"/>
    <w:rsid w:val="00531072"/>
    <w:rsid w:val="00557DD4"/>
    <w:rsid w:val="005947AA"/>
    <w:rsid w:val="00595D7E"/>
    <w:rsid w:val="005A01C2"/>
    <w:rsid w:val="005E3A14"/>
    <w:rsid w:val="005F27AF"/>
    <w:rsid w:val="005F27D2"/>
    <w:rsid w:val="00607706"/>
    <w:rsid w:val="00610D19"/>
    <w:rsid w:val="00613170"/>
    <w:rsid w:val="00626194"/>
    <w:rsid w:val="00654899"/>
    <w:rsid w:val="00663A1B"/>
    <w:rsid w:val="00686082"/>
    <w:rsid w:val="00693A2C"/>
    <w:rsid w:val="006945A3"/>
    <w:rsid w:val="00694A96"/>
    <w:rsid w:val="006978C7"/>
    <w:rsid w:val="006D545C"/>
    <w:rsid w:val="006D77B6"/>
    <w:rsid w:val="006E3010"/>
    <w:rsid w:val="00705DD7"/>
    <w:rsid w:val="00706B49"/>
    <w:rsid w:val="00713950"/>
    <w:rsid w:val="00736581"/>
    <w:rsid w:val="00756C74"/>
    <w:rsid w:val="00781E8A"/>
    <w:rsid w:val="007E058F"/>
    <w:rsid w:val="007E1498"/>
    <w:rsid w:val="00812635"/>
    <w:rsid w:val="008201EF"/>
    <w:rsid w:val="00867942"/>
    <w:rsid w:val="00870729"/>
    <w:rsid w:val="00872B6C"/>
    <w:rsid w:val="00875913"/>
    <w:rsid w:val="00887694"/>
    <w:rsid w:val="008A4560"/>
    <w:rsid w:val="008B1261"/>
    <w:rsid w:val="008E14B5"/>
    <w:rsid w:val="008E377B"/>
    <w:rsid w:val="00904FC6"/>
    <w:rsid w:val="00906980"/>
    <w:rsid w:val="00921CFD"/>
    <w:rsid w:val="00924F5D"/>
    <w:rsid w:val="009422F9"/>
    <w:rsid w:val="00944A55"/>
    <w:rsid w:val="00955C9A"/>
    <w:rsid w:val="00960ACA"/>
    <w:rsid w:val="00960F8C"/>
    <w:rsid w:val="0098571E"/>
    <w:rsid w:val="00991727"/>
    <w:rsid w:val="009E63D3"/>
    <w:rsid w:val="00A0132D"/>
    <w:rsid w:val="00A14EDB"/>
    <w:rsid w:val="00A33E7E"/>
    <w:rsid w:val="00A63415"/>
    <w:rsid w:val="00A73D6F"/>
    <w:rsid w:val="00A910AA"/>
    <w:rsid w:val="00A941D7"/>
    <w:rsid w:val="00AD7373"/>
    <w:rsid w:val="00AF54CE"/>
    <w:rsid w:val="00AF58B2"/>
    <w:rsid w:val="00B00C4F"/>
    <w:rsid w:val="00B011B6"/>
    <w:rsid w:val="00B0242A"/>
    <w:rsid w:val="00B05D4F"/>
    <w:rsid w:val="00B23051"/>
    <w:rsid w:val="00B45A6A"/>
    <w:rsid w:val="00B45C9F"/>
    <w:rsid w:val="00B742AD"/>
    <w:rsid w:val="00B827CE"/>
    <w:rsid w:val="00B965FC"/>
    <w:rsid w:val="00BA4FC7"/>
    <w:rsid w:val="00BB57BF"/>
    <w:rsid w:val="00BC0669"/>
    <w:rsid w:val="00BC286B"/>
    <w:rsid w:val="00BD2C87"/>
    <w:rsid w:val="00BE2B99"/>
    <w:rsid w:val="00BE48C0"/>
    <w:rsid w:val="00C05112"/>
    <w:rsid w:val="00C12FD9"/>
    <w:rsid w:val="00C159CB"/>
    <w:rsid w:val="00C33351"/>
    <w:rsid w:val="00C372C7"/>
    <w:rsid w:val="00C418C9"/>
    <w:rsid w:val="00C46E73"/>
    <w:rsid w:val="00C92AAE"/>
    <w:rsid w:val="00C96E90"/>
    <w:rsid w:val="00CB5A9E"/>
    <w:rsid w:val="00CB658A"/>
    <w:rsid w:val="00CB7C96"/>
    <w:rsid w:val="00CC3B4B"/>
    <w:rsid w:val="00CC5D28"/>
    <w:rsid w:val="00CD0513"/>
    <w:rsid w:val="00CE06EE"/>
    <w:rsid w:val="00CF7935"/>
    <w:rsid w:val="00CF79FB"/>
    <w:rsid w:val="00D0416C"/>
    <w:rsid w:val="00D16B3F"/>
    <w:rsid w:val="00D25BA1"/>
    <w:rsid w:val="00D36ABB"/>
    <w:rsid w:val="00D376AA"/>
    <w:rsid w:val="00D70388"/>
    <w:rsid w:val="00D82108"/>
    <w:rsid w:val="00D946EE"/>
    <w:rsid w:val="00DA7E42"/>
    <w:rsid w:val="00DC19AA"/>
    <w:rsid w:val="00DF5332"/>
    <w:rsid w:val="00DF67D5"/>
    <w:rsid w:val="00E044FA"/>
    <w:rsid w:val="00E100A0"/>
    <w:rsid w:val="00E23F7E"/>
    <w:rsid w:val="00E409FB"/>
    <w:rsid w:val="00E43688"/>
    <w:rsid w:val="00E60508"/>
    <w:rsid w:val="00E7596A"/>
    <w:rsid w:val="00E97407"/>
    <w:rsid w:val="00EB1372"/>
    <w:rsid w:val="00EB4E95"/>
    <w:rsid w:val="00EC388C"/>
    <w:rsid w:val="00ED0887"/>
    <w:rsid w:val="00EE70D8"/>
    <w:rsid w:val="00EF34AF"/>
    <w:rsid w:val="00EF496E"/>
    <w:rsid w:val="00F0341C"/>
    <w:rsid w:val="00F20613"/>
    <w:rsid w:val="00F363E1"/>
    <w:rsid w:val="00F365FB"/>
    <w:rsid w:val="00F36C58"/>
    <w:rsid w:val="00F55725"/>
    <w:rsid w:val="00F668BC"/>
    <w:rsid w:val="00F82CD1"/>
    <w:rsid w:val="00F84B42"/>
    <w:rsid w:val="00F90BF7"/>
    <w:rsid w:val="00FA2D61"/>
    <w:rsid w:val="00FB27F2"/>
    <w:rsid w:val="00FB37B8"/>
    <w:rsid w:val="00FC058D"/>
    <w:rsid w:val="00FE2B62"/>
    <w:rsid w:val="00FF450F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C84FE"/>
  <w15:docId w15:val="{56E864BE-056F-4882-99D9-970B2A5E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1F8F"/>
    <w:rPr>
      <w:rFonts w:ascii="Arial" w:hAnsi="Arial"/>
      <w:lang w:eastAsia="nl-NL"/>
    </w:rPr>
  </w:style>
  <w:style w:type="paragraph" w:styleId="Kop1">
    <w:name w:val="heading 1"/>
    <w:basedOn w:val="Standaard"/>
    <w:link w:val="Kop1Char"/>
    <w:qFormat/>
    <w:rsid w:val="00211F8F"/>
    <w:pPr>
      <w:spacing w:before="120" w:after="45" w:line="420" w:lineRule="atLeast"/>
      <w:outlineLvl w:val="0"/>
    </w:pPr>
    <w:rPr>
      <w:rFonts w:ascii="Arial Unicode MS" w:eastAsia="Arial Unicode MS" w:hAnsi="Arial Unicode MS" w:cs="Arial Unicode MS"/>
      <w:b/>
      <w:bCs/>
      <w:color w:val="003F8B"/>
      <w:kern w:val="36"/>
      <w:sz w:val="30"/>
      <w:szCs w:val="30"/>
    </w:rPr>
  </w:style>
  <w:style w:type="paragraph" w:styleId="Kop2">
    <w:name w:val="heading 2"/>
    <w:basedOn w:val="Standaard"/>
    <w:link w:val="Kop2Char"/>
    <w:qFormat/>
    <w:rsid w:val="00211F8F"/>
    <w:pPr>
      <w:spacing w:before="150" w:after="45"/>
      <w:outlineLvl w:val="1"/>
    </w:pPr>
    <w:rPr>
      <w:rFonts w:ascii="Arial Unicode MS" w:eastAsia="Arial Unicode MS" w:hAnsi="Arial Unicode MS" w:cs="Arial Unicode MS"/>
      <w:b/>
      <w:bCs/>
      <w:color w:val="003F8B"/>
      <w:sz w:val="24"/>
      <w:szCs w:val="24"/>
    </w:rPr>
  </w:style>
  <w:style w:type="paragraph" w:styleId="Kop3">
    <w:name w:val="heading 3"/>
    <w:basedOn w:val="Standaard"/>
    <w:next w:val="Standaard"/>
    <w:link w:val="Kop3Char"/>
    <w:qFormat/>
    <w:rsid w:val="00211F8F"/>
    <w:pPr>
      <w:keepNext/>
      <w:outlineLvl w:val="2"/>
    </w:pPr>
    <w:rPr>
      <w:szCs w:val="21"/>
    </w:rPr>
  </w:style>
  <w:style w:type="paragraph" w:styleId="Kop4">
    <w:name w:val="heading 4"/>
    <w:basedOn w:val="Standaard"/>
    <w:next w:val="Standaard"/>
    <w:link w:val="Kop4Char"/>
    <w:qFormat/>
    <w:rsid w:val="00211F8F"/>
    <w:pPr>
      <w:keepNext/>
      <w:outlineLvl w:val="3"/>
    </w:pPr>
    <w:rPr>
      <w:rFonts w:cs="Arial"/>
      <w:b/>
      <w:b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11F8F"/>
    <w:rPr>
      <w:rFonts w:ascii="Arial Unicode MS" w:eastAsia="Arial Unicode MS" w:hAnsi="Arial Unicode MS" w:cs="Arial Unicode MS"/>
      <w:b/>
      <w:bCs/>
      <w:color w:val="003F8B"/>
      <w:kern w:val="36"/>
      <w:sz w:val="30"/>
      <w:szCs w:val="30"/>
      <w:lang w:eastAsia="nl-NL"/>
    </w:rPr>
  </w:style>
  <w:style w:type="character" w:customStyle="1" w:styleId="Kop2Char">
    <w:name w:val="Kop 2 Char"/>
    <w:basedOn w:val="Standaardalinea-lettertype"/>
    <w:link w:val="Kop2"/>
    <w:rsid w:val="00211F8F"/>
    <w:rPr>
      <w:rFonts w:ascii="Arial Unicode MS" w:eastAsia="Arial Unicode MS" w:hAnsi="Arial Unicode MS" w:cs="Arial Unicode MS"/>
      <w:b/>
      <w:bCs/>
      <w:color w:val="003F8B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211F8F"/>
    <w:rPr>
      <w:rFonts w:ascii="Arial" w:hAnsi="Arial"/>
      <w:szCs w:val="21"/>
      <w:lang w:eastAsia="nl-NL"/>
    </w:rPr>
  </w:style>
  <w:style w:type="character" w:customStyle="1" w:styleId="Kop4Char">
    <w:name w:val="Kop 4 Char"/>
    <w:basedOn w:val="Standaardalinea-lettertype"/>
    <w:link w:val="Kop4"/>
    <w:rsid w:val="00211F8F"/>
    <w:rPr>
      <w:rFonts w:ascii="Arial" w:hAnsi="Arial" w:cs="Arial"/>
      <w:b/>
      <w:bCs/>
      <w:szCs w:val="21"/>
      <w:lang w:eastAsia="nl-NL"/>
    </w:rPr>
  </w:style>
  <w:style w:type="character" w:styleId="Zwaar">
    <w:name w:val="Strong"/>
    <w:qFormat/>
    <w:rsid w:val="00211F8F"/>
    <w:rPr>
      <w:b/>
      <w:bCs/>
    </w:rPr>
  </w:style>
  <w:style w:type="character" w:styleId="Nadruk">
    <w:name w:val="Emphasis"/>
    <w:uiPriority w:val="20"/>
    <w:qFormat/>
    <w:rsid w:val="00211F8F"/>
    <w:rPr>
      <w:i/>
      <w:iCs/>
    </w:rPr>
  </w:style>
  <w:style w:type="paragraph" w:styleId="Lijstalinea">
    <w:name w:val="List Paragraph"/>
    <w:basedOn w:val="Standaard"/>
    <w:uiPriority w:val="34"/>
    <w:qFormat/>
    <w:rsid w:val="007E1498"/>
    <w:pPr>
      <w:ind w:left="720"/>
      <w:contextualSpacing/>
    </w:pPr>
  </w:style>
  <w:style w:type="table" w:styleId="Tabelraster">
    <w:name w:val="Table Grid"/>
    <w:basedOn w:val="Standaardtabel"/>
    <w:uiPriority w:val="59"/>
    <w:rsid w:val="0035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E06E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59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5913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025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252F"/>
    <w:rPr>
      <w:rFonts w:ascii="Arial" w:hAnsi="Arial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025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252F"/>
    <w:rPr>
      <w:rFonts w:ascii="Arial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A40B-71E0-44B1-BF32-45D15652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5146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CVO Groep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Dijen</dc:creator>
  <cp:lastModifiedBy>Carmen Dekkers</cp:lastModifiedBy>
  <cp:revision>2</cp:revision>
  <dcterms:created xsi:type="dcterms:W3CDTF">2019-12-16T13:44:00Z</dcterms:created>
  <dcterms:modified xsi:type="dcterms:W3CDTF">2019-12-16T13:44:00Z</dcterms:modified>
</cp:coreProperties>
</file>